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882E7" w14:textId="37CBFAAE" w:rsidR="00205395" w:rsidRPr="00761750" w:rsidRDefault="00205395" w:rsidP="00205395">
      <w:pPr>
        <w:pStyle w:val="Heading1"/>
        <w:spacing w:before="0"/>
        <w:rPr>
          <w:color w:val="0083AC"/>
        </w:rPr>
      </w:pPr>
      <w:bookmarkStart w:id="0" w:name="_Toc523917505"/>
      <w:bookmarkStart w:id="1" w:name="_Toc525050227"/>
      <w:r w:rsidRPr="00761750">
        <w:rPr>
          <w:color w:val="0083AC"/>
        </w:rPr>
        <w:t>CBA Wellbeing Impacts Template</w:t>
      </w:r>
    </w:p>
    <w:bookmarkEnd w:id="0"/>
    <w:bookmarkEnd w:id="1"/>
    <w:p w14:paraId="768C14AD" w14:textId="62FA920B" w:rsidR="00881187" w:rsidRPr="005005F2" w:rsidRDefault="006D4818" w:rsidP="00881187">
      <w:r>
        <w:t>Cost benefit analysis (</w:t>
      </w:r>
      <w:r w:rsidR="00881187" w:rsidRPr="005005F2">
        <w:t>CBA</w:t>
      </w:r>
      <w:r>
        <w:t>)</w:t>
      </w:r>
      <w:r w:rsidR="00881187" w:rsidRPr="005005F2">
        <w:t xml:space="preserve"> summary metrics, such as the net present value (NPV), benefit/cost ratio (BCR) and return on investment (RoI), provide high level information on monetised impacts. This can be illustrated by charts, such as the present values across wellbeing domain</w:t>
      </w:r>
      <w:bookmarkStart w:id="2" w:name="_GoBack"/>
      <w:bookmarkEnd w:id="2"/>
      <w:r w:rsidR="00881187" w:rsidRPr="005005F2">
        <w:t xml:space="preserve">s and over time. The CBAx </w:t>
      </w:r>
      <w:r w:rsidR="00881187" w:rsidRPr="005005F2">
        <w:rPr>
          <w:i/>
          <w:iCs/>
        </w:rPr>
        <w:t>Outputs Summary</w:t>
      </w:r>
      <w:r w:rsidR="00881187" w:rsidRPr="005005F2">
        <w:t xml:space="preserve"> tab includes all of this summary CBA information.  </w:t>
      </w:r>
    </w:p>
    <w:p w14:paraId="77021A92" w14:textId="77777777" w:rsidR="00881187" w:rsidRPr="005005F2" w:rsidRDefault="00881187" w:rsidP="00881187">
      <w:r w:rsidRPr="005005F2">
        <w:t xml:space="preserve">The summary information needs to be supplemented by information on the main impacts, covering both monetised and non-monetised impacts. The purpose of the Wellbeing Impacts table (next page) is to summarise key information for each for the wellbeing impacts, whether these are monetised or not.  Provide the following information for each wellbeing impacts, being as specific and quantify where possible. List the most significant impacts first. </w:t>
      </w:r>
    </w:p>
    <w:tbl>
      <w:tblPr>
        <w:tblStyle w:val="TableGrid"/>
        <w:tblW w:w="949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495"/>
        <w:gridCol w:w="7998"/>
      </w:tblGrid>
      <w:tr w:rsidR="00881187" w:rsidRPr="005005F2" w14:paraId="7A1CA5C8" w14:textId="77777777" w:rsidTr="00761750">
        <w:tc>
          <w:tcPr>
            <w:tcW w:w="1413" w:type="dxa"/>
            <w:shd w:val="clear" w:color="auto" w:fill="F2F2F2" w:themeFill="background1" w:themeFillShade="F2"/>
          </w:tcPr>
          <w:p w14:paraId="26C23845" w14:textId="77777777" w:rsidR="00881187" w:rsidRPr="005005F2" w:rsidRDefault="00881187" w:rsidP="006105B5">
            <w:pPr>
              <w:autoSpaceDE w:val="0"/>
              <w:autoSpaceDN w:val="0"/>
              <w:adjustRightInd w:val="0"/>
              <w:spacing w:after="60" w:line="240" w:lineRule="auto"/>
              <w:rPr>
                <w:b/>
                <w:bCs/>
              </w:rPr>
            </w:pPr>
            <w:r w:rsidRPr="005005F2">
              <w:rPr>
                <w:b/>
                <w:bCs/>
              </w:rPr>
              <w:t>Field</w:t>
            </w:r>
          </w:p>
        </w:tc>
        <w:tc>
          <w:tcPr>
            <w:tcW w:w="8080" w:type="dxa"/>
            <w:shd w:val="clear" w:color="auto" w:fill="F2F2F2" w:themeFill="background1" w:themeFillShade="F2"/>
          </w:tcPr>
          <w:p w14:paraId="03F571D5" w14:textId="77777777" w:rsidR="00881187" w:rsidRPr="005005F2" w:rsidRDefault="00881187" w:rsidP="006105B5">
            <w:pPr>
              <w:autoSpaceDE w:val="0"/>
              <w:autoSpaceDN w:val="0"/>
              <w:adjustRightInd w:val="0"/>
              <w:spacing w:after="60" w:line="240" w:lineRule="auto"/>
              <w:rPr>
                <w:b/>
                <w:bCs/>
              </w:rPr>
            </w:pPr>
            <w:r w:rsidRPr="005005F2">
              <w:rPr>
                <w:b/>
                <w:bCs/>
              </w:rPr>
              <w:t>Explanation</w:t>
            </w:r>
          </w:p>
        </w:tc>
      </w:tr>
      <w:tr w:rsidR="00881187" w:rsidRPr="005005F2" w14:paraId="7838BBA0" w14:textId="77777777" w:rsidTr="00761750">
        <w:tc>
          <w:tcPr>
            <w:tcW w:w="1413" w:type="dxa"/>
          </w:tcPr>
          <w:p w14:paraId="3810ECB5" w14:textId="77777777" w:rsidR="00881187" w:rsidRPr="005005F2" w:rsidRDefault="00881187" w:rsidP="006105B5">
            <w:pPr>
              <w:pStyle w:val="Bullet-list"/>
              <w:numPr>
                <w:ilvl w:val="0"/>
                <w:numId w:val="0"/>
              </w:numPr>
              <w:spacing w:after="60"/>
            </w:pPr>
            <w:r w:rsidRPr="005005F2">
              <w:t>Impact description</w:t>
            </w:r>
          </w:p>
          <w:p w14:paraId="7C55A9C0" w14:textId="77777777" w:rsidR="00881187" w:rsidRPr="005005F2" w:rsidRDefault="00881187" w:rsidP="006105B5">
            <w:pPr>
              <w:autoSpaceDE w:val="0"/>
              <w:autoSpaceDN w:val="0"/>
              <w:adjustRightInd w:val="0"/>
              <w:spacing w:after="60" w:line="240" w:lineRule="auto"/>
            </w:pPr>
          </w:p>
        </w:tc>
        <w:tc>
          <w:tcPr>
            <w:tcW w:w="8080" w:type="dxa"/>
          </w:tcPr>
          <w:p w14:paraId="7D5E2E52" w14:textId="77777777" w:rsidR="00881187" w:rsidRPr="005005F2" w:rsidRDefault="00881187" w:rsidP="006105B5">
            <w:pPr>
              <w:pStyle w:val="Bullet-list"/>
              <w:spacing w:after="60"/>
              <w:ind w:left="317" w:hanging="221"/>
              <w:jc w:val="left"/>
            </w:pPr>
            <w:r w:rsidRPr="005005F2">
              <w:t>Identify the impacts, including any negative impacts.</w:t>
            </w:r>
          </w:p>
          <w:p w14:paraId="2123FE7F" w14:textId="77777777" w:rsidR="00881187" w:rsidRPr="005005F2" w:rsidRDefault="00881187" w:rsidP="006105B5">
            <w:pPr>
              <w:pStyle w:val="Bullet-list"/>
              <w:spacing w:after="60"/>
              <w:ind w:left="317" w:hanging="221"/>
              <w:jc w:val="left"/>
            </w:pPr>
            <w:r w:rsidRPr="005005F2">
              <w:t>The effects and consequences that the results have on people’s lives.</w:t>
            </w:r>
          </w:p>
          <w:p w14:paraId="7CE7079A" w14:textId="77777777" w:rsidR="00881187" w:rsidRPr="005005F2" w:rsidRDefault="00881187" w:rsidP="006105B5">
            <w:pPr>
              <w:pStyle w:val="Bullet-list"/>
              <w:spacing w:after="60"/>
              <w:ind w:left="317" w:hanging="221"/>
              <w:jc w:val="left"/>
            </w:pPr>
            <w:r w:rsidRPr="005005F2">
              <w:t xml:space="preserve">There can be different people affected positively or negatively. </w:t>
            </w:r>
          </w:p>
          <w:p w14:paraId="461BAB5C" w14:textId="77777777" w:rsidR="00881187" w:rsidRPr="005005F2" w:rsidRDefault="00881187" w:rsidP="006105B5">
            <w:pPr>
              <w:pStyle w:val="Bullet-list"/>
              <w:spacing w:after="60"/>
              <w:ind w:left="317" w:hanging="221"/>
              <w:jc w:val="left"/>
            </w:pPr>
            <w:r w:rsidRPr="005005F2">
              <w:t>There can be more than one impact for each wellbeing domain.</w:t>
            </w:r>
          </w:p>
          <w:p w14:paraId="2E89D18C" w14:textId="77777777" w:rsidR="00881187" w:rsidRPr="005005F2" w:rsidRDefault="00881187" w:rsidP="006105B5">
            <w:pPr>
              <w:pStyle w:val="Bullet-list"/>
              <w:spacing w:after="60"/>
              <w:ind w:left="317" w:hanging="221"/>
              <w:jc w:val="left"/>
            </w:pPr>
            <w:r w:rsidRPr="005005F2">
              <w:t xml:space="preserve">For example, if the initiative increases the number of social houses (outputs) which reduces overcrowding (outcome), then specific health domain impacts could include: (a) improved health and (b) reduced health care costs. </w:t>
            </w:r>
          </w:p>
        </w:tc>
      </w:tr>
      <w:tr w:rsidR="00881187" w:rsidRPr="005005F2" w14:paraId="61CE6D95" w14:textId="77777777" w:rsidTr="00761750">
        <w:tc>
          <w:tcPr>
            <w:tcW w:w="1413" w:type="dxa"/>
          </w:tcPr>
          <w:p w14:paraId="3382EC2D" w14:textId="77777777" w:rsidR="00881187" w:rsidRPr="005005F2" w:rsidRDefault="00881187" w:rsidP="006105B5">
            <w:pPr>
              <w:pStyle w:val="Bullet-list"/>
              <w:numPr>
                <w:ilvl w:val="0"/>
                <w:numId w:val="0"/>
              </w:numPr>
              <w:spacing w:after="60"/>
            </w:pPr>
            <w:r w:rsidRPr="005005F2">
              <w:t>Affected</w:t>
            </w:r>
          </w:p>
          <w:p w14:paraId="40AB4859" w14:textId="77777777" w:rsidR="00881187" w:rsidRPr="005005F2" w:rsidRDefault="00881187" w:rsidP="006105B5">
            <w:pPr>
              <w:autoSpaceDE w:val="0"/>
              <w:autoSpaceDN w:val="0"/>
              <w:adjustRightInd w:val="0"/>
              <w:spacing w:after="60" w:line="240" w:lineRule="auto"/>
              <w:rPr>
                <w:lang w:val="en-AU" w:eastAsia="en-US"/>
              </w:rPr>
            </w:pPr>
          </w:p>
        </w:tc>
        <w:tc>
          <w:tcPr>
            <w:tcW w:w="8080" w:type="dxa"/>
          </w:tcPr>
          <w:p w14:paraId="06035B8C" w14:textId="77777777" w:rsidR="00881187" w:rsidRPr="005005F2" w:rsidRDefault="00881187" w:rsidP="006105B5">
            <w:pPr>
              <w:pStyle w:val="Bullet-list"/>
              <w:spacing w:after="60"/>
              <w:ind w:left="317" w:hanging="221"/>
              <w:jc w:val="left"/>
            </w:pPr>
            <w:r w:rsidRPr="005005F2">
              <w:t xml:space="preserve">Who is affected? Identify and quantify who will be affected by this impact. This could be eg, individuals, families, businesses or the government. </w:t>
            </w:r>
          </w:p>
          <w:p w14:paraId="49DBBBD6" w14:textId="77777777" w:rsidR="00881187" w:rsidRPr="005005F2" w:rsidRDefault="00881187" w:rsidP="006105B5">
            <w:pPr>
              <w:pStyle w:val="Bullet-list"/>
              <w:spacing w:after="60"/>
              <w:ind w:left="317" w:hanging="221"/>
              <w:jc w:val="left"/>
            </w:pPr>
            <w:r w:rsidRPr="005005F2">
              <w:t>Are different groups impacted differently, and why? Eg, different age-groups and location/regions. Cover distributional aspects and the impact for different groups.</w:t>
            </w:r>
          </w:p>
          <w:p w14:paraId="0DC1E081" w14:textId="77777777" w:rsidR="00881187" w:rsidRPr="005005F2" w:rsidRDefault="00881187" w:rsidP="006105B5">
            <w:pPr>
              <w:pStyle w:val="Bullet-list"/>
              <w:spacing w:after="60"/>
              <w:ind w:left="317" w:hanging="221"/>
              <w:jc w:val="left"/>
            </w:pPr>
            <w:r w:rsidRPr="005005F2">
              <w:t>Quantify how many will be impacted and put the number in context (eg, proportion of people affected in relation to the population size). </w:t>
            </w:r>
          </w:p>
        </w:tc>
      </w:tr>
      <w:tr w:rsidR="00881187" w:rsidRPr="005005F2" w14:paraId="4C2ABD13" w14:textId="77777777" w:rsidTr="00761750">
        <w:tc>
          <w:tcPr>
            <w:tcW w:w="1413" w:type="dxa"/>
          </w:tcPr>
          <w:p w14:paraId="474EDA39" w14:textId="77777777" w:rsidR="00881187" w:rsidRPr="005005F2" w:rsidRDefault="00881187" w:rsidP="006105B5">
            <w:pPr>
              <w:pStyle w:val="Bullet-list"/>
              <w:numPr>
                <w:ilvl w:val="0"/>
                <w:numId w:val="0"/>
              </w:numPr>
              <w:spacing w:after="60"/>
            </w:pPr>
            <w:r w:rsidRPr="005005F2">
              <w:t xml:space="preserve">Timeframes </w:t>
            </w:r>
          </w:p>
          <w:p w14:paraId="3716A888" w14:textId="77777777" w:rsidR="00881187" w:rsidRPr="005005F2" w:rsidRDefault="00881187" w:rsidP="006105B5">
            <w:pPr>
              <w:autoSpaceDE w:val="0"/>
              <w:autoSpaceDN w:val="0"/>
              <w:adjustRightInd w:val="0"/>
              <w:spacing w:after="60" w:line="240" w:lineRule="auto"/>
              <w:rPr>
                <w:lang w:val="en-AU" w:eastAsia="en-US"/>
              </w:rPr>
            </w:pPr>
          </w:p>
        </w:tc>
        <w:tc>
          <w:tcPr>
            <w:tcW w:w="8080" w:type="dxa"/>
          </w:tcPr>
          <w:p w14:paraId="7B4C2B7D" w14:textId="77777777" w:rsidR="00881187" w:rsidRPr="005005F2" w:rsidRDefault="00881187" w:rsidP="006105B5">
            <w:pPr>
              <w:pStyle w:val="Bullet-list"/>
              <w:spacing w:after="60"/>
              <w:ind w:left="317" w:hanging="221"/>
              <w:jc w:val="left"/>
            </w:pPr>
            <w:r w:rsidRPr="005005F2">
              <w:t xml:space="preserve">The estimated timeframes in which the impact will be realised. </w:t>
            </w:r>
          </w:p>
          <w:p w14:paraId="342D628E" w14:textId="77777777" w:rsidR="00881187" w:rsidRPr="005005F2" w:rsidRDefault="00881187" w:rsidP="006105B5">
            <w:pPr>
              <w:pStyle w:val="Bullet-list"/>
              <w:spacing w:after="60"/>
              <w:ind w:left="317" w:hanging="221"/>
              <w:jc w:val="left"/>
            </w:pPr>
            <w:r w:rsidRPr="005005F2">
              <w:t>Short term (&lt;5 years), Medium term (5 - 10 years), Long term (10+ years)</w:t>
            </w:r>
          </w:p>
        </w:tc>
      </w:tr>
      <w:tr w:rsidR="00881187" w:rsidRPr="005005F2" w14:paraId="6E92AFCD" w14:textId="77777777" w:rsidTr="00761750">
        <w:tc>
          <w:tcPr>
            <w:tcW w:w="1413" w:type="dxa"/>
          </w:tcPr>
          <w:p w14:paraId="1EA4536D" w14:textId="77777777" w:rsidR="00881187" w:rsidRPr="005005F2" w:rsidRDefault="00881187" w:rsidP="006105B5">
            <w:pPr>
              <w:pStyle w:val="Bullet-list"/>
              <w:numPr>
                <w:ilvl w:val="0"/>
                <w:numId w:val="0"/>
              </w:numPr>
              <w:spacing w:after="60"/>
            </w:pPr>
            <w:r w:rsidRPr="005005F2">
              <w:t>Wellbeing domain</w:t>
            </w:r>
          </w:p>
        </w:tc>
        <w:tc>
          <w:tcPr>
            <w:tcW w:w="8080" w:type="dxa"/>
          </w:tcPr>
          <w:p w14:paraId="2121480D" w14:textId="77777777" w:rsidR="00881187" w:rsidRPr="005005F2" w:rsidRDefault="00881187" w:rsidP="00881187">
            <w:pPr>
              <w:pStyle w:val="Bullet-list"/>
              <w:spacing w:after="60"/>
              <w:ind w:left="317" w:hanging="221"/>
            </w:pPr>
            <w:r w:rsidRPr="005005F2">
              <w:t xml:space="preserve">List the </w:t>
            </w:r>
            <w:hyperlink r:id="rId8" w:history="1">
              <w:r w:rsidRPr="005005F2">
                <w:rPr>
                  <w:rStyle w:val="Hyperlink"/>
                </w:rPr>
                <w:t>Living Standards Framework</w:t>
              </w:r>
            </w:hyperlink>
            <w:r w:rsidRPr="005005F2">
              <w:t xml:space="preserve"> domain this impact relates to.</w:t>
            </w:r>
          </w:p>
          <w:p w14:paraId="14D5F131" w14:textId="77777777" w:rsidR="00881187" w:rsidRPr="005005F2" w:rsidRDefault="00881187" w:rsidP="00881187">
            <w:pPr>
              <w:pStyle w:val="Bullet-list"/>
              <w:spacing w:after="60"/>
              <w:ind w:left="317" w:hanging="221"/>
            </w:pPr>
            <w:r w:rsidRPr="005005F2">
              <w:t xml:space="preserve">You can also use other relevant wellbeing domains, eg, from </w:t>
            </w:r>
            <w:hyperlink r:id="rId9" w:anchor=":~:text=What%20is%20He%20Ara%20Waiora%3F%20The%20term%20%E2%80%98waiora%E2%80%99,Waiora%20presents%20a%20holistic%2C%20intergenerational%20approach%20to%20wellbeing." w:history="1">
              <w:r w:rsidRPr="005005F2">
                <w:rPr>
                  <w:rStyle w:val="Hyperlink"/>
                </w:rPr>
                <w:t>He Ara Waiora</w:t>
              </w:r>
            </w:hyperlink>
            <w:r w:rsidRPr="005005F2">
              <w:t xml:space="preserve"> </w:t>
            </w:r>
          </w:p>
        </w:tc>
      </w:tr>
      <w:tr w:rsidR="00881187" w:rsidRPr="005005F2" w14:paraId="3797235C" w14:textId="77777777" w:rsidTr="00761750">
        <w:tc>
          <w:tcPr>
            <w:tcW w:w="1413" w:type="dxa"/>
          </w:tcPr>
          <w:p w14:paraId="0C6F44DC" w14:textId="77777777" w:rsidR="00881187" w:rsidRPr="005005F2" w:rsidRDefault="00881187" w:rsidP="006105B5">
            <w:pPr>
              <w:pStyle w:val="Bullet-list"/>
              <w:numPr>
                <w:ilvl w:val="0"/>
                <w:numId w:val="0"/>
              </w:numPr>
              <w:spacing w:after="60"/>
            </w:pPr>
            <w:r w:rsidRPr="005005F2">
              <w:t>Magnitude / Present Value</w:t>
            </w:r>
          </w:p>
        </w:tc>
        <w:tc>
          <w:tcPr>
            <w:tcW w:w="8080" w:type="dxa"/>
          </w:tcPr>
          <w:p w14:paraId="23B1694A" w14:textId="77777777" w:rsidR="00881187" w:rsidRPr="005005F2" w:rsidRDefault="00881187" w:rsidP="006105B5">
            <w:pPr>
              <w:pStyle w:val="Bullet-list"/>
              <w:spacing w:after="60"/>
              <w:ind w:left="317" w:hanging="221"/>
              <w:jc w:val="left"/>
            </w:pPr>
            <w:r w:rsidRPr="005005F2">
              <w:t xml:space="preserve">Present value (PV) for that particular impact. Use CBAx 50-year PV.  </w:t>
            </w:r>
          </w:p>
          <w:p w14:paraId="68210CA7" w14:textId="77777777" w:rsidR="00881187" w:rsidRPr="005005F2" w:rsidRDefault="00881187" w:rsidP="006105B5">
            <w:pPr>
              <w:pStyle w:val="Bullet-list"/>
              <w:spacing w:after="60"/>
              <w:ind w:left="317" w:hanging="221"/>
              <w:jc w:val="left"/>
            </w:pPr>
            <w:r w:rsidRPr="005005F2">
              <w:t>You can aggregate CBAx impacts, eg, if you have segmented modelling.</w:t>
            </w:r>
          </w:p>
          <w:p w14:paraId="56EF5B87" w14:textId="77777777" w:rsidR="00881187" w:rsidRPr="005005F2" w:rsidRDefault="00881187" w:rsidP="006105B5">
            <w:pPr>
              <w:pStyle w:val="Bullet-list"/>
              <w:spacing w:after="60"/>
              <w:ind w:left="317" w:hanging="221"/>
              <w:jc w:val="left"/>
            </w:pPr>
            <w:r w:rsidRPr="005005F2">
              <w:t>For non-monetised impacts, provide qualitative assessment: high, moderate, low.</w:t>
            </w:r>
          </w:p>
        </w:tc>
      </w:tr>
      <w:tr w:rsidR="00881187" w:rsidRPr="005005F2" w14:paraId="22FB227C" w14:textId="77777777" w:rsidTr="00761750">
        <w:tc>
          <w:tcPr>
            <w:tcW w:w="1413" w:type="dxa"/>
          </w:tcPr>
          <w:p w14:paraId="3C3447AE" w14:textId="77777777" w:rsidR="00881187" w:rsidRPr="005005F2" w:rsidRDefault="00881187" w:rsidP="006105B5">
            <w:pPr>
              <w:pStyle w:val="Bullet-list"/>
              <w:numPr>
                <w:ilvl w:val="0"/>
                <w:numId w:val="0"/>
              </w:numPr>
              <w:spacing w:after="60"/>
            </w:pPr>
            <w:r w:rsidRPr="005005F2">
              <w:t xml:space="preserve">Quantification, assumptions and evidence </w:t>
            </w:r>
          </w:p>
          <w:p w14:paraId="3CAEAE16" w14:textId="77777777" w:rsidR="00881187" w:rsidRPr="005005F2" w:rsidRDefault="00881187" w:rsidP="006105B5">
            <w:pPr>
              <w:autoSpaceDE w:val="0"/>
              <w:autoSpaceDN w:val="0"/>
              <w:adjustRightInd w:val="0"/>
              <w:spacing w:after="60" w:line="240" w:lineRule="auto"/>
              <w:rPr>
                <w:lang w:val="en-AU" w:eastAsia="en-US"/>
              </w:rPr>
            </w:pPr>
          </w:p>
        </w:tc>
        <w:tc>
          <w:tcPr>
            <w:tcW w:w="8080" w:type="dxa"/>
          </w:tcPr>
          <w:p w14:paraId="14594D99" w14:textId="77777777" w:rsidR="00881187" w:rsidRPr="005005F2" w:rsidRDefault="00881187" w:rsidP="006105B5">
            <w:pPr>
              <w:pStyle w:val="Bullet-list"/>
              <w:spacing w:after="60"/>
              <w:ind w:left="317" w:hanging="221"/>
              <w:jc w:val="left"/>
            </w:pPr>
            <w:r w:rsidRPr="005005F2">
              <w:t>Set out supporting quantification and the explicit assumptions, including ranges where appropriate. Set out the expected marginal changes from the counterfactual.</w:t>
            </w:r>
          </w:p>
          <w:p w14:paraId="4102A49F" w14:textId="77777777" w:rsidR="00881187" w:rsidRPr="005005F2" w:rsidRDefault="00881187" w:rsidP="006105B5">
            <w:pPr>
              <w:pStyle w:val="Bullet-list"/>
              <w:spacing w:after="60"/>
              <w:ind w:left="317" w:hanging="221"/>
              <w:jc w:val="left"/>
            </w:pPr>
            <w:r w:rsidRPr="005005F2">
              <w:t>For example, if there is an increase in social housing what is the expected (percentage) decrease in overcrowding across population groups and the flow on health gains and reduced health costs from this?</w:t>
            </w:r>
          </w:p>
          <w:p w14:paraId="1D7250E3" w14:textId="77777777" w:rsidR="00881187" w:rsidRPr="005005F2" w:rsidRDefault="00881187" w:rsidP="006105B5">
            <w:pPr>
              <w:pStyle w:val="Bullet-list"/>
              <w:spacing w:after="60"/>
              <w:ind w:left="317" w:hanging="221"/>
              <w:jc w:val="left"/>
            </w:pPr>
            <w:r w:rsidRPr="005005F2">
              <w:t xml:space="preserve">What evidence underpins the information provided on impacts, timeframes and the magnitude of the impact? For example, what is the evidence around reduction in overcrowding and avoided health costs? </w:t>
            </w:r>
          </w:p>
          <w:p w14:paraId="4595E83C" w14:textId="77777777" w:rsidR="00881187" w:rsidRPr="005005F2" w:rsidRDefault="00881187" w:rsidP="006105B5">
            <w:pPr>
              <w:pStyle w:val="Bullet-list"/>
              <w:spacing w:after="60"/>
              <w:ind w:left="317" w:hanging="221"/>
              <w:jc w:val="left"/>
            </w:pPr>
            <w:r w:rsidRPr="005005F2">
              <w:t>Make qualitative assessment, if quantification is not possible (high, moderate, low).</w:t>
            </w:r>
          </w:p>
        </w:tc>
      </w:tr>
      <w:tr w:rsidR="00881187" w:rsidRPr="005005F2" w14:paraId="6A79197D" w14:textId="77777777" w:rsidTr="00761750">
        <w:tc>
          <w:tcPr>
            <w:tcW w:w="1413" w:type="dxa"/>
          </w:tcPr>
          <w:p w14:paraId="1766BCFA" w14:textId="77777777" w:rsidR="00881187" w:rsidRPr="005005F2" w:rsidRDefault="00881187" w:rsidP="006105B5">
            <w:pPr>
              <w:pStyle w:val="Bullet-list"/>
              <w:numPr>
                <w:ilvl w:val="0"/>
                <w:numId w:val="0"/>
              </w:numPr>
              <w:spacing w:after="60"/>
            </w:pPr>
            <w:r w:rsidRPr="005005F2">
              <w:t>Evidence quality</w:t>
            </w:r>
          </w:p>
        </w:tc>
        <w:tc>
          <w:tcPr>
            <w:tcW w:w="8080" w:type="dxa"/>
          </w:tcPr>
          <w:p w14:paraId="5B6C72B3" w14:textId="77777777" w:rsidR="00881187" w:rsidRPr="005005F2" w:rsidRDefault="00881187" w:rsidP="00881187">
            <w:pPr>
              <w:pStyle w:val="Bullet-list"/>
              <w:spacing w:after="60"/>
              <w:ind w:left="317" w:hanging="221"/>
            </w:pPr>
            <w:r w:rsidRPr="005005F2">
              <w:t>High / Medium / Low</w:t>
            </w:r>
          </w:p>
        </w:tc>
      </w:tr>
    </w:tbl>
    <w:p w14:paraId="42D3AFCB" w14:textId="77777777" w:rsidR="00881187" w:rsidRPr="005005F2" w:rsidRDefault="00881187" w:rsidP="00881187"/>
    <w:p w14:paraId="4E0BE15A" w14:textId="77777777" w:rsidR="00881187" w:rsidRPr="005005F2" w:rsidRDefault="00881187" w:rsidP="00881187">
      <w:pPr>
        <w:sectPr w:rsidR="00881187" w:rsidRPr="005005F2" w:rsidSect="00EE1D51">
          <w:pgSz w:w="11906" w:h="16838"/>
          <w:pgMar w:top="1134" w:right="1418" w:bottom="1134" w:left="1418" w:header="680" w:footer="454" w:gutter="0"/>
          <w:cols w:space="708"/>
          <w:docGrid w:linePitch="360"/>
        </w:sectPr>
      </w:pPr>
    </w:p>
    <w:tbl>
      <w:tblPr>
        <w:tblW w:w="21830" w:type="dxa"/>
        <w:tblInd w:w="12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083AC"/>
        <w:tblLook w:val="04A0" w:firstRow="1" w:lastRow="0" w:firstColumn="1" w:lastColumn="0" w:noHBand="0" w:noVBand="1"/>
      </w:tblPr>
      <w:tblGrid>
        <w:gridCol w:w="21830"/>
      </w:tblGrid>
      <w:tr w:rsidR="00881187" w:rsidRPr="005005F2" w14:paraId="4820BDDB" w14:textId="77777777" w:rsidTr="00761750">
        <w:tc>
          <w:tcPr>
            <w:tcW w:w="21830" w:type="dxa"/>
            <w:shd w:val="clear" w:color="auto" w:fill="0083AC"/>
          </w:tcPr>
          <w:p w14:paraId="38D11509" w14:textId="77777777" w:rsidR="00881187" w:rsidRPr="005005F2" w:rsidRDefault="00881187" w:rsidP="006105B5">
            <w:pPr>
              <w:spacing w:before="20" w:after="20"/>
              <w:rPr>
                <w:rFonts w:ascii="Arial Narrow" w:hAnsi="Arial Narrow"/>
                <w:b/>
                <w:color w:val="FFFFFF"/>
                <w:sz w:val="20"/>
              </w:rPr>
            </w:pPr>
            <w:r w:rsidRPr="005005F2">
              <w:rPr>
                <w:rFonts w:ascii="Arial Narrow" w:hAnsi="Arial Narrow"/>
                <w:b/>
                <w:color w:val="FFFFFF"/>
                <w:sz w:val="20"/>
              </w:rPr>
              <w:lastRenderedPageBreak/>
              <w:t>Wellbeing impacts – People’s experience of wellbeing over time including both monetised and non-monetised impacts</w:t>
            </w:r>
          </w:p>
        </w:tc>
      </w:tr>
    </w:tbl>
    <w:p w14:paraId="2B204E41" w14:textId="77777777" w:rsidR="00881187" w:rsidRPr="005005F2" w:rsidRDefault="00881187" w:rsidP="00881187">
      <w:pPr>
        <w:spacing w:before="120"/>
        <w:ind w:left="142"/>
      </w:pPr>
      <w:r w:rsidRPr="005005F2">
        <w:rPr>
          <w:rFonts w:cs="Arial"/>
          <w:b/>
          <w:bCs/>
          <w:color w:val="000000"/>
          <w:sz w:val="32"/>
          <w:szCs w:val="32"/>
          <w:lang w:val="en-NZ" w:eastAsia="en-NZ"/>
        </w:rPr>
        <w:t>Wellbeing impacts - Summary of monetised and non-monetised impacts</w:t>
      </w:r>
    </w:p>
    <w:tbl>
      <w:tblPr>
        <w:tblW w:w="2191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184"/>
        <w:gridCol w:w="3098"/>
        <w:gridCol w:w="4644"/>
        <w:gridCol w:w="1348"/>
        <w:gridCol w:w="1275"/>
        <w:gridCol w:w="1559"/>
        <w:gridCol w:w="7371"/>
        <w:gridCol w:w="1434"/>
      </w:tblGrid>
      <w:tr w:rsidR="00881187" w:rsidRPr="005005F2" w14:paraId="157E9B80" w14:textId="77777777" w:rsidTr="00761750">
        <w:trPr>
          <w:trHeight w:val="340"/>
        </w:trPr>
        <w:tc>
          <w:tcPr>
            <w:tcW w:w="1184" w:type="dxa"/>
            <w:shd w:val="clear" w:color="auto" w:fill="D9D9D9" w:themeFill="background1" w:themeFillShade="D9"/>
            <w:vAlign w:val="bottom"/>
            <w:hideMark/>
          </w:tcPr>
          <w:p w14:paraId="1166E956" w14:textId="77777777" w:rsidR="00881187" w:rsidRPr="005005F2" w:rsidRDefault="00881187" w:rsidP="00761750">
            <w:pPr>
              <w:spacing w:before="60" w:after="60" w:line="240" w:lineRule="auto"/>
              <w:rPr>
                <w:rFonts w:cs="Arial"/>
                <w:b/>
                <w:bCs/>
                <w:color w:val="000000"/>
                <w:sz w:val="20"/>
                <w:lang w:val="en-NZ" w:eastAsia="en-NZ"/>
              </w:rPr>
            </w:pPr>
            <w:r w:rsidRPr="005005F2">
              <w:rPr>
                <w:rFonts w:cs="Arial"/>
                <w:b/>
                <w:bCs/>
                <w:color w:val="000000"/>
                <w:sz w:val="20"/>
                <w:lang w:val="en-NZ" w:eastAsia="en-NZ"/>
              </w:rPr>
              <w:t>Reference</w:t>
            </w:r>
          </w:p>
        </w:tc>
        <w:tc>
          <w:tcPr>
            <w:tcW w:w="3098" w:type="dxa"/>
            <w:shd w:val="clear" w:color="auto" w:fill="D9D9D9" w:themeFill="background1" w:themeFillShade="D9"/>
            <w:vAlign w:val="bottom"/>
            <w:hideMark/>
          </w:tcPr>
          <w:p w14:paraId="341233ED" w14:textId="77777777" w:rsidR="00881187" w:rsidRPr="005005F2" w:rsidRDefault="00881187" w:rsidP="00761750">
            <w:pPr>
              <w:spacing w:before="60" w:after="60" w:line="240" w:lineRule="auto"/>
              <w:rPr>
                <w:rFonts w:cs="Arial"/>
                <w:b/>
                <w:bCs/>
                <w:color w:val="000000"/>
                <w:sz w:val="20"/>
                <w:lang w:val="en-NZ" w:eastAsia="en-NZ"/>
              </w:rPr>
            </w:pPr>
            <w:r w:rsidRPr="005005F2">
              <w:rPr>
                <w:rFonts w:cs="Arial"/>
                <w:b/>
                <w:bCs/>
                <w:color w:val="000000"/>
                <w:sz w:val="20"/>
                <w:lang w:val="en-NZ" w:eastAsia="en-NZ"/>
              </w:rPr>
              <w:t>Impact description</w:t>
            </w:r>
            <w:r w:rsidRPr="005005F2">
              <w:rPr>
                <w:rFonts w:cs="Arial"/>
                <w:color w:val="000000"/>
                <w:sz w:val="20"/>
                <w:lang w:val="en-NZ" w:eastAsia="en-NZ"/>
              </w:rPr>
              <w:t xml:space="preserve"> </w:t>
            </w:r>
          </w:p>
        </w:tc>
        <w:tc>
          <w:tcPr>
            <w:tcW w:w="4644" w:type="dxa"/>
            <w:shd w:val="clear" w:color="auto" w:fill="D9D9D9" w:themeFill="background1" w:themeFillShade="D9"/>
            <w:vAlign w:val="bottom"/>
            <w:hideMark/>
          </w:tcPr>
          <w:p w14:paraId="395EE0F7" w14:textId="77777777" w:rsidR="00881187" w:rsidRPr="005005F2" w:rsidRDefault="00881187" w:rsidP="00761750">
            <w:pPr>
              <w:spacing w:before="60" w:after="60" w:line="240" w:lineRule="auto"/>
              <w:rPr>
                <w:rFonts w:cs="Arial"/>
                <w:b/>
                <w:bCs/>
                <w:color w:val="000000"/>
                <w:sz w:val="20"/>
                <w:lang w:val="en-NZ" w:eastAsia="en-NZ"/>
              </w:rPr>
            </w:pPr>
            <w:r w:rsidRPr="005005F2">
              <w:rPr>
                <w:rFonts w:cs="Arial"/>
                <w:b/>
                <w:bCs/>
                <w:color w:val="000000"/>
                <w:sz w:val="20"/>
                <w:lang w:val="en-NZ" w:eastAsia="en-NZ"/>
              </w:rPr>
              <w:t xml:space="preserve">Affected </w:t>
            </w:r>
          </w:p>
        </w:tc>
        <w:tc>
          <w:tcPr>
            <w:tcW w:w="1348" w:type="dxa"/>
            <w:shd w:val="clear" w:color="auto" w:fill="D9D9D9" w:themeFill="background1" w:themeFillShade="D9"/>
            <w:vAlign w:val="bottom"/>
            <w:hideMark/>
          </w:tcPr>
          <w:p w14:paraId="07E943B8" w14:textId="77777777" w:rsidR="00881187" w:rsidRPr="005005F2" w:rsidRDefault="00881187" w:rsidP="00761750">
            <w:pPr>
              <w:spacing w:before="60" w:after="60" w:line="240" w:lineRule="auto"/>
              <w:rPr>
                <w:rFonts w:cs="Arial"/>
                <w:b/>
                <w:bCs/>
                <w:color w:val="000000"/>
                <w:sz w:val="20"/>
                <w:lang w:val="en-NZ" w:eastAsia="en-NZ"/>
              </w:rPr>
            </w:pPr>
            <w:r w:rsidRPr="005005F2">
              <w:rPr>
                <w:rFonts w:cs="Arial"/>
                <w:b/>
                <w:bCs/>
                <w:color w:val="000000"/>
                <w:sz w:val="20"/>
                <w:lang w:val="en-NZ" w:eastAsia="en-NZ"/>
              </w:rPr>
              <w:t>Timeframe</w:t>
            </w:r>
          </w:p>
        </w:tc>
        <w:tc>
          <w:tcPr>
            <w:tcW w:w="1275" w:type="dxa"/>
            <w:shd w:val="clear" w:color="auto" w:fill="D9D9D9" w:themeFill="background1" w:themeFillShade="D9"/>
            <w:vAlign w:val="bottom"/>
            <w:hideMark/>
          </w:tcPr>
          <w:p w14:paraId="1AD7911C" w14:textId="77777777" w:rsidR="00881187" w:rsidRPr="005005F2" w:rsidRDefault="00881187" w:rsidP="00761750">
            <w:pPr>
              <w:spacing w:before="60" w:after="60" w:line="240" w:lineRule="auto"/>
              <w:rPr>
                <w:rFonts w:cs="Arial"/>
                <w:b/>
                <w:bCs/>
                <w:color w:val="000000"/>
                <w:sz w:val="20"/>
                <w:lang w:val="en-NZ" w:eastAsia="en-NZ"/>
              </w:rPr>
            </w:pPr>
            <w:r w:rsidRPr="005005F2">
              <w:rPr>
                <w:rFonts w:cs="Arial"/>
                <w:b/>
                <w:bCs/>
                <w:color w:val="000000"/>
                <w:sz w:val="20"/>
                <w:lang w:val="en-NZ" w:eastAsia="en-NZ"/>
              </w:rPr>
              <w:t>Wellbeing domain</w:t>
            </w:r>
          </w:p>
        </w:tc>
        <w:tc>
          <w:tcPr>
            <w:tcW w:w="1559" w:type="dxa"/>
            <w:shd w:val="clear" w:color="auto" w:fill="D9D9D9" w:themeFill="background1" w:themeFillShade="D9"/>
            <w:vAlign w:val="bottom"/>
          </w:tcPr>
          <w:p w14:paraId="5AE6998A" w14:textId="77777777" w:rsidR="00881187" w:rsidRPr="005005F2" w:rsidRDefault="00881187" w:rsidP="00761750">
            <w:pPr>
              <w:spacing w:before="60" w:after="60" w:line="240" w:lineRule="auto"/>
              <w:rPr>
                <w:rFonts w:cs="Arial"/>
                <w:b/>
                <w:bCs/>
                <w:color w:val="000000"/>
                <w:sz w:val="20"/>
                <w:lang w:val="en-NZ" w:eastAsia="en-NZ"/>
              </w:rPr>
            </w:pPr>
            <w:r w:rsidRPr="005005F2">
              <w:rPr>
                <w:rFonts w:cs="Arial"/>
                <w:b/>
                <w:bCs/>
                <w:color w:val="000000"/>
                <w:sz w:val="20"/>
                <w:lang w:val="en-NZ" w:eastAsia="en-NZ"/>
              </w:rPr>
              <w:t>Magnitude / Present value</w:t>
            </w:r>
          </w:p>
        </w:tc>
        <w:tc>
          <w:tcPr>
            <w:tcW w:w="7371" w:type="dxa"/>
            <w:shd w:val="clear" w:color="auto" w:fill="D9D9D9" w:themeFill="background1" w:themeFillShade="D9"/>
            <w:vAlign w:val="bottom"/>
            <w:hideMark/>
          </w:tcPr>
          <w:p w14:paraId="5B9D3014" w14:textId="77777777" w:rsidR="00881187" w:rsidRPr="005005F2" w:rsidRDefault="00881187" w:rsidP="00761750">
            <w:pPr>
              <w:spacing w:before="60" w:after="60" w:line="240" w:lineRule="auto"/>
              <w:rPr>
                <w:rFonts w:cs="Arial"/>
                <w:b/>
                <w:bCs/>
                <w:color w:val="000000"/>
                <w:sz w:val="20"/>
                <w:lang w:val="en-NZ" w:eastAsia="en-NZ"/>
              </w:rPr>
            </w:pPr>
            <w:r w:rsidRPr="005005F2">
              <w:rPr>
                <w:rFonts w:cs="Arial"/>
                <w:b/>
                <w:bCs/>
                <w:color w:val="000000"/>
                <w:sz w:val="20"/>
                <w:lang w:val="en-NZ" w:eastAsia="en-NZ"/>
              </w:rPr>
              <w:t>Quantification, assumptions and evidence</w:t>
            </w:r>
          </w:p>
        </w:tc>
        <w:tc>
          <w:tcPr>
            <w:tcW w:w="1434" w:type="dxa"/>
            <w:shd w:val="clear" w:color="auto" w:fill="D9D9D9" w:themeFill="background1" w:themeFillShade="D9"/>
            <w:vAlign w:val="bottom"/>
            <w:hideMark/>
          </w:tcPr>
          <w:p w14:paraId="384A4D27" w14:textId="77777777" w:rsidR="00881187" w:rsidRPr="005005F2" w:rsidRDefault="00881187" w:rsidP="00761750">
            <w:pPr>
              <w:spacing w:before="60" w:after="60" w:line="240" w:lineRule="auto"/>
              <w:rPr>
                <w:rFonts w:cs="Arial"/>
                <w:b/>
                <w:bCs/>
                <w:color w:val="000000"/>
                <w:sz w:val="20"/>
                <w:lang w:val="en-NZ" w:eastAsia="en-NZ"/>
              </w:rPr>
            </w:pPr>
            <w:r w:rsidRPr="005005F2">
              <w:rPr>
                <w:rFonts w:cs="Arial"/>
                <w:b/>
                <w:bCs/>
                <w:color w:val="000000"/>
                <w:sz w:val="20"/>
                <w:lang w:val="en-NZ" w:eastAsia="en-NZ"/>
              </w:rPr>
              <w:t>Evidence quality</w:t>
            </w:r>
          </w:p>
        </w:tc>
      </w:tr>
      <w:tr w:rsidR="00881187" w:rsidRPr="005005F2" w14:paraId="4CE98206" w14:textId="77777777" w:rsidTr="00761750">
        <w:trPr>
          <w:trHeight w:val="1418"/>
        </w:trPr>
        <w:tc>
          <w:tcPr>
            <w:tcW w:w="1184" w:type="dxa"/>
            <w:shd w:val="clear" w:color="000000" w:fill="FFFFFF"/>
            <w:hideMark/>
          </w:tcPr>
          <w:p w14:paraId="3520382B"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Impact 1</w:t>
            </w:r>
          </w:p>
        </w:tc>
        <w:tc>
          <w:tcPr>
            <w:tcW w:w="3098" w:type="dxa"/>
            <w:shd w:val="clear" w:color="auto" w:fill="auto"/>
            <w:hideMark/>
          </w:tcPr>
          <w:p w14:paraId="3017AC14"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4644" w:type="dxa"/>
            <w:shd w:val="clear" w:color="auto" w:fill="auto"/>
            <w:hideMark/>
          </w:tcPr>
          <w:p w14:paraId="173148AB"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348" w:type="dxa"/>
            <w:shd w:val="clear" w:color="auto" w:fill="auto"/>
            <w:hideMark/>
          </w:tcPr>
          <w:p w14:paraId="58BD93F3"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275" w:type="dxa"/>
            <w:shd w:val="clear" w:color="auto" w:fill="auto"/>
            <w:hideMark/>
          </w:tcPr>
          <w:p w14:paraId="7BE1A438"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559" w:type="dxa"/>
          </w:tcPr>
          <w:p w14:paraId="1A65FB79"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7371" w:type="dxa"/>
            <w:shd w:val="clear" w:color="auto" w:fill="auto"/>
            <w:hideMark/>
          </w:tcPr>
          <w:p w14:paraId="556CFFA3"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434" w:type="dxa"/>
            <w:shd w:val="clear" w:color="auto" w:fill="auto"/>
            <w:hideMark/>
          </w:tcPr>
          <w:p w14:paraId="5197F046"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r>
      <w:tr w:rsidR="00881187" w:rsidRPr="005005F2" w14:paraId="37137017" w14:textId="77777777" w:rsidTr="00761750">
        <w:trPr>
          <w:trHeight w:val="1418"/>
        </w:trPr>
        <w:tc>
          <w:tcPr>
            <w:tcW w:w="1184" w:type="dxa"/>
            <w:shd w:val="clear" w:color="000000" w:fill="FFFFFF"/>
            <w:hideMark/>
          </w:tcPr>
          <w:p w14:paraId="352DFCCB"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Impact 2</w:t>
            </w:r>
          </w:p>
        </w:tc>
        <w:tc>
          <w:tcPr>
            <w:tcW w:w="3098" w:type="dxa"/>
            <w:shd w:val="clear" w:color="auto" w:fill="auto"/>
            <w:hideMark/>
          </w:tcPr>
          <w:p w14:paraId="4047BEB4"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4644" w:type="dxa"/>
            <w:shd w:val="clear" w:color="auto" w:fill="auto"/>
            <w:hideMark/>
          </w:tcPr>
          <w:p w14:paraId="1B6BD9C2"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348" w:type="dxa"/>
            <w:shd w:val="clear" w:color="auto" w:fill="auto"/>
            <w:hideMark/>
          </w:tcPr>
          <w:p w14:paraId="138D9D34"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275" w:type="dxa"/>
            <w:shd w:val="clear" w:color="auto" w:fill="auto"/>
            <w:hideMark/>
          </w:tcPr>
          <w:p w14:paraId="3AD4906F"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559" w:type="dxa"/>
          </w:tcPr>
          <w:p w14:paraId="07B5C32D"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7371" w:type="dxa"/>
            <w:shd w:val="clear" w:color="auto" w:fill="auto"/>
            <w:hideMark/>
          </w:tcPr>
          <w:p w14:paraId="630D4872"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434" w:type="dxa"/>
            <w:shd w:val="clear" w:color="auto" w:fill="auto"/>
            <w:hideMark/>
          </w:tcPr>
          <w:p w14:paraId="0FA138F9"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r>
      <w:tr w:rsidR="00881187" w:rsidRPr="005005F2" w14:paraId="4F8E0B65" w14:textId="77777777" w:rsidTr="00761750">
        <w:trPr>
          <w:trHeight w:val="1418"/>
        </w:trPr>
        <w:tc>
          <w:tcPr>
            <w:tcW w:w="1184" w:type="dxa"/>
            <w:shd w:val="clear" w:color="000000" w:fill="FFFFFF"/>
            <w:hideMark/>
          </w:tcPr>
          <w:p w14:paraId="7FBFEEB4"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Impact 3</w:t>
            </w:r>
          </w:p>
        </w:tc>
        <w:tc>
          <w:tcPr>
            <w:tcW w:w="3098" w:type="dxa"/>
            <w:shd w:val="clear" w:color="auto" w:fill="auto"/>
            <w:hideMark/>
          </w:tcPr>
          <w:p w14:paraId="0135731E"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4644" w:type="dxa"/>
            <w:shd w:val="clear" w:color="auto" w:fill="auto"/>
            <w:hideMark/>
          </w:tcPr>
          <w:p w14:paraId="7A8E05F5"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348" w:type="dxa"/>
            <w:shd w:val="clear" w:color="auto" w:fill="auto"/>
            <w:hideMark/>
          </w:tcPr>
          <w:p w14:paraId="358793D2"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275" w:type="dxa"/>
            <w:shd w:val="clear" w:color="auto" w:fill="auto"/>
            <w:hideMark/>
          </w:tcPr>
          <w:p w14:paraId="2D3EC26C"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559" w:type="dxa"/>
          </w:tcPr>
          <w:p w14:paraId="5BB5689F"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7371" w:type="dxa"/>
            <w:shd w:val="clear" w:color="auto" w:fill="auto"/>
            <w:hideMark/>
          </w:tcPr>
          <w:p w14:paraId="597B8F3A"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434" w:type="dxa"/>
            <w:shd w:val="clear" w:color="auto" w:fill="auto"/>
            <w:hideMark/>
          </w:tcPr>
          <w:p w14:paraId="74327A63"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r>
      <w:tr w:rsidR="00881187" w:rsidRPr="005005F2" w14:paraId="2D70F91E" w14:textId="77777777" w:rsidTr="00761750">
        <w:trPr>
          <w:trHeight w:val="1418"/>
        </w:trPr>
        <w:tc>
          <w:tcPr>
            <w:tcW w:w="1184" w:type="dxa"/>
            <w:shd w:val="clear" w:color="000000" w:fill="FFFFFF"/>
            <w:hideMark/>
          </w:tcPr>
          <w:p w14:paraId="1757FD08"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Impact 4</w:t>
            </w:r>
          </w:p>
        </w:tc>
        <w:tc>
          <w:tcPr>
            <w:tcW w:w="3098" w:type="dxa"/>
            <w:shd w:val="clear" w:color="auto" w:fill="auto"/>
            <w:hideMark/>
          </w:tcPr>
          <w:p w14:paraId="2592DF7E"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4644" w:type="dxa"/>
            <w:shd w:val="clear" w:color="auto" w:fill="auto"/>
            <w:hideMark/>
          </w:tcPr>
          <w:p w14:paraId="0E94B879"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348" w:type="dxa"/>
            <w:shd w:val="clear" w:color="auto" w:fill="auto"/>
            <w:hideMark/>
          </w:tcPr>
          <w:p w14:paraId="7A75A94F"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275" w:type="dxa"/>
            <w:shd w:val="clear" w:color="auto" w:fill="auto"/>
            <w:hideMark/>
          </w:tcPr>
          <w:p w14:paraId="0EED341D"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559" w:type="dxa"/>
          </w:tcPr>
          <w:p w14:paraId="3CF4EC1D"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7371" w:type="dxa"/>
            <w:shd w:val="clear" w:color="auto" w:fill="auto"/>
            <w:hideMark/>
          </w:tcPr>
          <w:p w14:paraId="1B12FB7D"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434" w:type="dxa"/>
            <w:shd w:val="clear" w:color="auto" w:fill="auto"/>
            <w:hideMark/>
          </w:tcPr>
          <w:p w14:paraId="4246B3EA"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r>
      <w:tr w:rsidR="00881187" w:rsidRPr="005005F2" w14:paraId="1C38BDC0" w14:textId="77777777" w:rsidTr="00761750">
        <w:trPr>
          <w:trHeight w:val="1418"/>
        </w:trPr>
        <w:tc>
          <w:tcPr>
            <w:tcW w:w="1184" w:type="dxa"/>
            <w:shd w:val="clear" w:color="000000" w:fill="FFFFFF"/>
            <w:hideMark/>
          </w:tcPr>
          <w:p w14:paraId="6211B6F5"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Impact 5</w:t>
            </w:r>
          </w:p>
        </w:tc>
        <w:tc>
          <w:tcPr>
            <w:tcW w:w="3098" w:type="dxa"/>
            <w:shd w:val="clear" w:color="auto" w:fill="auto"/>
            <w:hideMark/>
          </w:tcPr>
          <w:p w14:paraId="5CA4C4A5"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4644" w:type="dxa"/>
            <w:shd w:val="clear" w:color="auto" w:fill="auto"/>
            <w:hideMark/>
          </w:tcPr>
          <w:p w14:paraId="3818E082"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348" w:type="dxa"/>
            <w:shd w:val="clear" w:color="auto" w:fill="auto"/>
            <w:hideMark/>
          </w:tcPr>
          <w:p w14:paraId="2D69AAA7"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275" w:type="dxa"/>
            <w:shd w:val="clear" w:color="auto" w:fill="auto"/>
            <w:hideMark/>
          </w:tcPr>
          <w:p w14:paraId="49C490D3"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559" w:type="dxa"/>
          </w:tcPr>
          <w:p w14:paraId="14F4C56C"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7371" w:type="dxa"/>
            <w:shd w:val="clear" w:color="auto" w:fill="auto"/>
            <w:hideMark/>
          </w:tcPr>
          <w:p w14:paraId="0D4680C0"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434" w:type="dxa"/>
            <w:shd w:val="clear" w:color="auto" w:fill="auto"/>
            <w:hideMark/>
          </w:tcPr>
          <w:p w14:paraId="64C60849"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r>
      <w:tr w:rsidR="00881187" w:rsidRPr="005005F2" w14:paraId="5BCA4B3A" w14:textId="77777777" w:rsidTr="00761750">
        <w:trPr>
          <w:trHeight w:val="1418"/>
        </w:trPr>
        <w:tc>
          <w:tcPr>
            <w:tcW w:w="1184" w:type="dxa"/>
            <w:shd w:val="clear" w:color="000000" w:fill="FFFFFF"/>
            <w:hideMark/>
          </w:tcPr>
          <w:p w14:paraId="47D43170"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Impact 6</w:t>
            </w:r>
          </w:p>
        </w:tc>
        <w:tc>
          <w:tcPr>
            <w:tcW w:w="3098" w:type="dxa"/>
            <w:shd w:val="clear" w:color="auto" w:fill="auto"/>
            <w:hideMark/>
          </w:tcPr>
          <w:p w14:paraId="3279627D"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4644" w:type="dxa"/>
            <w:shd w:val="clear" w:color="auto" w:fill="auto"/>
            <w:hideMark/>
          </w:tcPr>
          <w:p w14:paraId="75C43637"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348" w:type="dxa"/>
            <w:shd w:val="clear" w:color="auto" w:fill="auto"/>
            <w:hideMark/>
          </w:tcPr>
          <w:p w14:paraId="0360CFE6"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275" w:type="dxa"/>
            <w:shd w:val="clear" w:color="auto" w:fill="auto"/>
            <w:hideMark/>
          </w:tcPr>
          <w:p w14:paraId="34145E08"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559" w:type="dxa"/>
          </w:tcPr>
          <w:p w14:paraId="0C682A95"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7371" w:type="dxa"/>
            <w:shd w:val="clear" w:color="auto" w:fill="auto"/>
            <w:hideMark/>
          </w:tcPr>
          <w:p w14:paraId="13364928"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434" w:type="dxa"/>
            <w:shd w:val="clear" w:color="auto" w:fill="auto"/>
            <w:hideMark/>
          </w:tcPr>
          <w:p w14:paraId="24A151C2"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r>
      <w:tr w:rsidR="00881187" w:rsidRPr="005005F2" w14:paraId="036673CA" w14:textId="77777777" w:rsidTr="00761750">
        <w:trPr>
          <w:trHeight w:val="1418"/>
        </w:trPr>
        <w:tc>
          <w:tcPr>
            <w:tcW w:w="1184" w:type="dxa"/>
            <w:shd w:val="clear" w:color="000000" w:fill="FFFFFF"/>
            <w:hideMark/>
          </w:tcPr>
          <w:p w14:paraId="7AB4E268"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Impact 7</w:t>
            </w:r>
          </w:p>
        </w:tc>
        <w:tc>
          <w:tcPr>
            <w:tcW w:w="3098" w:type="dxa"/>
            <w:shd w:val="clear" w:color="auto" w:fill="auto"/>
            <w:hideMark/>
          </w:tcPr>
          <w:p w14:paraId="085EB708"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4644" w:type="dxa"/>
            <w:shd w:val="clear" w:color="auto" w:fill="auto"/>
            <w:hideMark/>
          </w:tcPr>
          <w:p w14:paraId="34A05C23"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348" w:type="dxa"/>
            <w:shd w:val="clear" w:color="auto" w:fill="auto"/>
            <w:hideMark/>
          </w:tcPr>
          <w:p w14:paraId="06FB8754"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275" w:type="dxa"/>
            <w:shd w:val="clear" w:color="auto" w:fill="auto"/>
            <w:hideMark/>
          </w:tcPr>
          <w:p w14:paraId="7A836878"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559" w:type="dxa"/>
          </w:tcPr>
          <w:p w14:paraId="1E4BC453"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7371" w:type="dxa"/>
            <w:shd w:val="clear" w:color="auto" w:fill="auto"/>
            <w:hideMark/>
          </w:tcPr>
          <w:p w14:paraId="5BB75A06"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c>
          <w:tcPr>
            <w:tcW w:w="1434" w:type="dxa"/>
            <w:shd w:val="clear" w:color="auto" w:fill="auto"/>
            <w:hideMark/>
          </w:tcPr>
          <w:p w14:paraId="24058906" w14:textId="77777777" w:rsidR="00881187" w:rsidRPr="005005F2" w:rsidRDefault="00881187" w:rsidP="006105B5">
            <w:pPr>
              <w:spacing w:after="0" w:line="240" w:lineRule="auto"/>
              <w:rPr>
                <w:rFonts w:cs="Arial"/>
                <w:color w:val="000000"/>
                <w:sz w:val="20"/>
                <w:lang w:val="en-NZ" w:eastAsia="en-NZ"/>
              </w:rPr>
            </w:pPr>
            <w:r w:rsidRPr="005005F2">
              <w:rPr>
                <w:rFonts w:cs="Arial"/>
                <w:color w:val="000000"/>
                <w:sz w:val="20"/>
                <w:lang w:val="en-NZ" w:eastAsia="en-NZ"/>
              </w:rPr>
              <w:t> </w:t>
            </w:r>
          </w:p>
        </w:tc>
      </w:tr>
    </w:tbl>
    <w:p w14:paraId="0C74C03D" w14:textId="77777777" w:rsidR="00881187" w:rsidRPr="005005F2" w:rsidRDefault="00881187" w:rsidP="00881187">
      <w:pPr>
        <w:spacing w:before="120"/>
        <w:ind w:left="142"/>
      </w:pPr>
    </w:p>
    <w:p w14:paraId="08CBDD9D" w14:textId="77777777" w:rsidR="00DA24B8" w:rsidRPr="00355D83" w:rsidRDefault="00DA24B8" w:rsidP="00205395"/>
    <w:sectPr w:rsidR="00DA24B8" w:rsidRPr="00355D83" w:rsidSect="00205395">
      <w:headerReference w:type="default" r:id="rId10"/>
      <w:footerReference w:type="default" r:id="rId11"/>
      <w:pgSz w:w="23811" w:h="16838" w:orient="landscape" w:code="8"/>
      <w:pgMar w:top="1701" w:right="989"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149F2" w14:textId="77777777" w:rsidR="00C00E76" w:rsidRDefault="00C00E76" w:rsidP="00DA24B8">
      <w:r>
        <w:separator/>
      </w:r>
    </w:p>
  </w:endnote>
  <w:endnote w:type="continuationSeparator" w:id="0">
    <w:p w14:paraId="50240AAF" w14:textId="77777777" w:rsidR="00C00E76" w:rsidRDefault="00C00E76" w:rsidP="00DA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illSans">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0247" w14:textId="6006B661" w:rsidR="00D0596E" w:rsidRPr="00CE5191" w:rsidRDefault="00D0596E" w:rsidP="008B30D7">
    <w:pPr>
      <w:tabs>
        <w:tab w:val="center" w:pos="4253"/>
        <w:tab w:val="right" w:pos="8505"/>
      </w:tabs>
      <w:rPr>
        <w:sz w:val="18"/>
        <w:szCs w:val="18"/>
      </w:rPr>
    </w:pPr>
    <w:r w:rsidRPr="00CE5191">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20D0" w14:textId="77777777" w:rsidR="00C00E76" w:rsidRDefault="00C00E76" w:rsidP="00DA24B8">
      <w:r>
        <w:separator/>
      </w:r>
    </w:p>
  </w:footnote>
  <w:footnote w:type="continuationSeparator" w:id="0">
    <w:p w14:paraId="7E67670A" w14:textId="77777777" w:rsidR="00C00E76" w:rsidRDefault="00C00E76" w:rsidP="00DA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B85D" w14:textId="3D150DD7" w:rsidR="00D0596E" w:rsidRPr="00EB1B21" w:rsidRDefault="00D0596E" w:rsidP="008B30D7">
    <w:pPr>
      <w:tabs>
        <w:tab w:val="center" w:pos="4253"/>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E5A8D"/>
    <w:multiLevelType w:val="hybridMultilevel"/>
    <w:tmpl w:val="5BC867FA"/>
    <w:lvl w:ilvl="0" w:tplc="27763770">
      <w:start w:val="1"/>
      <w:numFmt w:val="bullet"/>
      <w:pStyle w:val="Bullet-list"/>
      <w:lvlText w:val=""/>
      <w:lvlJc w:val="left"/>
      <w:pPr>
        <w:ind w:left="720" w:hanging="360"/>
      </w:pPr>
      <w:rPr>
        <w:rFonts w:ascii="Symbol" w:hAnsi="Symbol" w:hint="default"/>
      </w:rPr>
    </w:lvl>
    <w:lvl w:ilvl="1" w:tplc="42AE8626">
      <w:start w:val="1"/>
      <w:numFmt w:val="bullet"/>
      <w:lvlText w:val=""/>
      <w:lvlJc w:val="left"/>
      <w:pPr>
        <w:ind w:left="1440" w:hanging="360"/>
      </w:pPr>
      <w:rPr>
        <w:rFonts w:ascii="Symbol" w:hAnsi="Symbol" w:hint="default"/>
      </w:rPr>
    </w:lvl>
    <w:lvl w:ilvl="2" w:tplc="14090005">
      <w:start w:val="1"/>
      <w:numFmt w:val="decimal"/>
      <w:lvlText w:val="%3."/>
      <w:lvlJc w:val="left"/>
      <w:pPr>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6680082"/>
    <w:multiLevelType w:val="hybridMultilevel"/>
    <w:tmpl w:val="384AB9AC"/>
    <w:lvl w:ilvl="0" w:tplc="B38A25F2">
      <w:start w:val="1"/>
      <w:numFmt w:val="bullet"/>
      <w:pStyle w:val="Bullet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95"/>
    <w:rsid w:val="00021E7F"/>
    <w:rsid w:val="000447B5"/>
    <w:rsid w:val="00051E2B"/>
    <w:rsid w:val="0006491E"/>
    <w:rsid w:val="000651EC"/>
    <w:rsid w:val="0009131A"/>
    <w:rsid w:val="000C16A4"/>
    <w:rsid w:val="000C3826"/>
    <w:rsid w:val="000C38A0"/>
    <w:rsid w:val="000D2BEE"/>
    <w:rsid w:val="000D4C67"/>
    <w:rsid w:val="00175E4A"/>
    <w:rsid w:val="00194BC7"/>
    <w:rsid w:val="001A3028"/>
    <w:rsid w:val="00205395"/>
    <w:rsid w:val="00221B5C"/>
    <w:rsid w:val="0026125D"/>
    <w:rsid w:val="002928C2"/>
    <w:rsid w:val="002C49DA"/>
    <w:rsid w:val="00355D83"/>
    <w:rsid w:val="00391CEC"/>
    <w:rsid w:val="003D7B1B"/>
    <w:rsid w:val="003F29DB"/>
    <w:rsid w:val="00403091"/>
    <w:rsid w:val="00437EC9"/>
    <w:rsid w:val="004550F4"/>
    <w:rsid w:val="00465FC5"/>
    <w:rsid w:val="00481ECF"/>
    <w:rsid w:val="00491B5F"/>
    <w:rsid w:val="0050791C"/>
    <w:rsid w:val="00526D4E"/>
    <w:rsid w:val="005547EC"/>
    <w:rsid w:val="00557C1E"/>
    <w:rsid w:val="005633B7"/>
    <w:rsid w:val="00564710"/>
    <w:rsid w:val="005852F0"/>
    <w:rsid w:val="005A7938"/>
    <w:rsid w:val="005B0915"/>
    <w:rsid w:val="005C2880"/>
    <w:rsid w:val="005F5170"/>
    <w:rsid w:val="00606284"/>
    <w:rsid w:val="00620D25"/>
    <w:rsid w:val="00665803"/>
    <w:rsid w:val="00675E8B"/>
    <w:rsid w:val="00677908"/>
    <w:rsid w:val="00692B77"/>
    <w:rsid w:val="006A6CD7"/>
    <w:rsid w:val="006C66F8"/>
    <w:rsid w:val="006D4818"/>
    <w:rsid w:val="007458C6"/>
    <w:rsid w:val="007523CC"/>
    <w:rsid w:val="00761750"/>
    <w:rsid w:val="00766F4A"/>
    <w:rsid w:val="00777A67"/>
    <w:rsid w:val="007967A0"/>
    <w:rsid w:val="007D6152"/>
    <w:rsid w:val="007F23A0"/>
    <w:rsid w:val="007F5C5E"/>
    <w:rsid w:val="00803BE9"/>
    <w:rsid w:val="00805913"/>
    <w:rsid w:val="00834075"/>
    <w:rsid w:val="00861A92"/>
    <w:rsid w:val="00865206"/>
    <w:rsid w:val="00881187"/>
    <w:rsid w:val="008B30D7"/>
    <w:rsid w:val="008C06F5"/>
    <w:rsid w:val="008C4F26"/>
    <w:rsid w:val="008D4542"/>
    <w:rsid w:val="008E5E98"/>
    <w:rsid w:val="00927799"/>
    <w:rsid w:val="00933388"/>
    <w:rsid w:val="00943823"/>
    <w:rsid w:val="00947B0F"/>
    <w:rsid w:val="009B5E55"/>
    <w:rsid w:val="009C0103"/>
    <w:rsid w:val="009F1593"/>
    <w:rsid w:val="009F533A"/>
    <w:rsid w:val="00A01436"/>
    <w:rsid w:val="00A03910"/>
    <w:rsid w:val="00A167BE"/>
    <w:rsid w:val="00A65A56"/>
    <w:rsid w:val="00AA642D"/>
    <w:rsid w:val="00AD50DE"/>
    <w:rsid w:val="00AF63EA"/>
    <w:rsid w:val="00AF720D"/>
    <w:rsid w:val="00B03A95"/>
    <w:rsid w:val="00B042E8"/>
    <w:rsid w:val="00B22CF2"/>
    <w:rsid w:val="00B407C4"/>
    <w:rsid w:val="00B41E0A"/>
    <w:rsid w:val="00B73C9C"/>
    <w:rsid w:val="00BA331E"/>
    <w:rsid w:val="00BB775B"/>
    <w:rsid w:val="00C00E76"/>
    <w:rsid w:val="00C0493B"/>
    <w:rsid w:val="00C1327E"/>
    <w:rsid w:val="00C30198"/>
    <w:rsid w:val="00C7752E"/>
    <w:rsid w:val="00CA2CFD"/>
    <w:rsid w:val="00CB5C54"/>
    <w:rsid w:val="00CB6898"/>
    <w:rsid w:val="00CD566A"/>
    <w:rsid w:val="00CD7C20"/>
    <w:rsid w:val="00CE4CA9"/>
    <w:rsid w:val="00CE5191"/>
    <w:rsid w:val="00CF5859"/>
    <w:rsid w:val="00D04D05"/>
    <w:rsid w:val="00D0596E"/>
    <w:rsid w:val="00D14994"/>
    <w:rsid w:val="00D16237"/>
    <w:rsid w:val="00D36050"/>
    <w:rsid w:val="00D517F8"/>
    <w:rsid w:val="00D52F13"/>
    <w:rsid w:val="00DA24B8"/>
    <w:rsid w:val="00DA594B"/>
    <w:rsid w:val="00DB58E9"/>
    <w:rsid w:val="00DD6751"/>
    <w:rsid w:val="00DE0D7C"/>
    <w:rsid w:val="00DE2B40"/>
    <w:rsid w:val="00DE4CBA"/>
    <w:rsid w:val="00DF2480"/>
    <w:rsid w:val="00EB1B21"/>
    <w:rsid w:val="00EF005A"/>
    <w:rsid w:val="00EF5DBE"/>
    <w:rsid w:val="00F42E6A"/>
    <w:rsid w:val="00F84704"/>
    <w:rsid w:val="00FC18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A507"/>
  <w15:chartTrackingRefBased/>
  <w15:docId w15:val="{A2EFACCE-490C-41CF-A22A-0A0B1EC0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95"/>
    <w:pPr>
      <w:spacing w:after="240" w:line="280" w:lineRule="atLeast"/>
    </w:pPr>
    <w:rPr>
      <w:rFonts w:ascii="Arial" w:hAnsi="Arial" w:cs="Times New Roman"/>
      <w:szCs w:val="20"/>
      <w:lang w:val="en-GB" w:eastAsia="en-GB"/>
    </w:rPr>
  </w:style>
  <w:style w:type="paragraph" w:styleId="Heading1">
    <w:name w:val="heading 1"/>
    <w:next w:val="Normal"/>
    <w:link w:val="Heading1Char"/>
    <w:qFormat/>
    <w:rsid w:val="00865206"/>
    <w:pPr>
      <w:keepNext/>
      <w:spacing w:before="60" w:after="240" w:line="300" w:lineRule="atLeast"/>
      <w:outlineLvl w:val="0"/>
    </w:pPr>
    <w:rPr>
      <w:rFonts w:ascii="Arial Bold" w:hAnsi="Arial Bold" w:cs="Times New Roman"/>
      <w:b/>
      <w:sz w:val="28"/>
      <w:szCs w:val="20"/>
      <w:lang w:val="en-AU"/>
    </w:rPr>
  </w:style>
  <w:style w:type="paragraph" w:styleId="Heading2">
    <w:name w:val="heading 2"/>
    <w:next w:val="Normal"/>
    <w:link w:val="Heading2Char"/>
    <w:qFormat/>
    <w:rsid w:val="00865206"/>
    <w:pPr>
      <w:keepNext/>
      <w:spacing w:before="60" w:after="240" w:line="300" w:lineRule="atLeast"/>
      <w:outlineLvl w:val="1"/>
    </w:pPr>
    <w:rPr>
      <w:rFonts w:ascii="Arial" w:hAnsi="Arial" w:cs="Times New Roman"/>
      <w:b/>
      <w:sz w:val="24"/>
      <w:szCs w:val="20"/>
      <w:lang w:val="en-AU"/>
    </w:rPr>
  </w:style>
  <w:style w:type="paragraph" w:styleId="Heading3">
    <w:name w:val="heading 3"/>
    <w:next w:val="Normal"/>
    <w:link w:val="Heading3Char"/>
    <w:qFormat/>
    <w:rsid w:val="00865206"/>
    <w:pPr>
      <w:keepNext/>
      <w:spacing w:before="60" w:after="120" w:line="280" w:lineRule="atLeast"/>
      <w:outlineLvl w:val="2"/>
    </w:pPr>
    <w:rPr>
      <w:rFonts w:ascii="Arial" w:hAnsi="Arial" w:cs="Times New Roman"/>
      <w:b/>
      <w:i/>
      <w:szCs w:val="20"/>
    </w:rPr>
  </w:style>
  <w:style w:type="paragraph" w:styleId="Heading4">
    <w:name w:val="heading 4"/>
    <w:next w:val="Normal"/>
    <w:link w:val="Heading4Char"/>
    <w:rsid w:val="00865206"/>
    <w:pPr>
      <w:keepNext/>
      <w:spacing w:before="60" w:after="120" w:line="280" w:lineRule="atLeast"/>
      <w:outlineLvl w:val="3"/>
    </w:pPr>
    <w:rPr>
      <w:rFonts w:ascii="Arial" w:hAnsi="Arial" w:cs="Times New Roman"/>
      <w:i/>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5206"/>
    <w:pPr>
      <w:tabs>
        <w:tab w:val="center" w:pos="4153"/>
        <w:tab w:val="right" w:pos="8306"/>
      </w:tabs>
    </w:pPr>
  </w:style>
  <w:style w:type="character" w:customStyle="1" w:styleId="FooterChar">
    <w:name w:val="Footer Char"/>
    <w:basedOn w:val="DefaultParagraphFont"/>
    <w:link w:val="Footer"/>
    <w:rsid w:val="00DA24B8"/>
    <w:rPr>
      <w:rFonts w:ascii="Arial" w:hAnsi="Arial" w:cs="Arial"/>
    </w:rPr>
  </w:style>
  <w:style w:type="paragraph" w:styleId="Header">
    <w:name w:val="header"/>
    <w:basedOn w:val="Normal"/>
    <w:link w:val="HeaderChar"/>
    <w:rsid w:val="00865206"/>
    <w:pPr>
      <w:tabs>
        <w:tab w:val="center" w:pos="4153"/>
        <w:tab w:val="right" w:pos="8306"/>
      </w:tabs>
    </w:pPr>
  </w:style>
  <w:style w:type="character" w:customStyle="1" w:styleId="HeaderChar">
    <w:name w:val="Header Char"/>
    <w:basedOn w:val="DefaultParagraphFont"/>
    <w:link w:val="Header"/>
    <w:rsid w:val="00DA24B8"/>
    <w:rPr>
      <w:rFonts w:ascii="Arial" w:hAnsi="Arial" w:cs="Arial"/>
    </w:rPr>
  </w:style>
  <w:style w:type="character" w:customStyle="1" w:styleId="Heading1Char">
    <w:name w:val="Heading 1 Char"/>
    <w:basedOn w:val="DefaultParagraphFont"/>
    <w:link w:val="Heading1"/>
    <w:rsid w:val="00DA24B8"/>
    <w:rPr>
      <w:rFonts w:ascii="Arial Bold" w:hAnsi="Arial Bold" w:cs="Times New Roman"/>
      <w:b/>
      <w:sz w:val="28"/>
      <w:szCs w:val="20"/>
      <w:lang w:val="en-AU"/>
    </w:rPr>
  </w:style>
  <w:style w:type="character" w:customStyle="1" w:styleId="Heading2Char">
    <w:name w:val="Heading 2 Char"/>
    <w:basedOn w:val="DefaultParagraphFont"/>
    <w:link w:val="Heading2"/>
    <w:rsid w:val="00DA24B8"/>
    <w:rPr>
      <w:rFonts w:ascii="Arial" w:hAnsi="Arial" w:cs="Times New Roman"/>
      <w:b/>
      <w:sz w:val="24"/>
      <w:szCs w:val="20"/>
      <w:lang w:val="en-AU"/>
    </w:rPr>
  </w:style>
  <w:style w:type="character" w:customStyle="1" w:styleId="Heading3Char">
    <w:name w:val="Heading 3 Char"/>
    <w:basedOn w:val="DefaultParagraphFont"/>
    <w:link w:val="Heading3"/>
    <w:rsid w:val="00DA24B8"/>
    <w:rPr>
      <w:rFonts w:ascii="Arial" w:hAnsi="Arial" w:cs="Times New Roman"/>
      <w:b/>
      <w:i/>
      <w:szCs w:val="20"/>
    </w:rPr>
  </w:style>
  <w:style w:type="character" w:customStyle="1" w:styleId="Heading4Char">
    <w:name w:val="Heading 4 Char"/>
    <w:basedOn w:val="DefaultParagraphFont"/>
    <w:link w:val="Heading4"/>
    <w:rsid w:val="00DA24B8"/>
    <w:rPr>
      <w:rFonts w:ascii="Arial" w:hAnsi="Arial" w:cs="Times New Roman"/>
      <w:i/>
      <w:szCs w:val="20"/>
      <w:lang w:val="en-AU"/>
    </w:rPr>
  </w:style>
  <w:style w:type="paragraph" w:styleId="ListParagraph">
    <w:name w:val="List Paragraph"/>
    <w:basedOn w:val="Normal"/>
    <w:uiPriority w:val="34"/>
    <w:rsid w:val="00DA24B8"/>
    <w:pPr>
      <w:ind w:left="720"/>
      <w:contextualSpacing/>
    </w:pPr>
  </w:style>
  <w:style w:type="paragraph" w:styleId="EnvelopeAddress">
    <w:name w:val="envelope address"/>
    <w:basedOn w:val="Normal"/>
    <w:uiPriority w:val="99"/>
    <w:unhideWhenUsed/>
    <w:rsid w:val="00CB5C5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B5C54"/>
    <w:rPr>
      <w:rFonts w:asciiTheme="majorHAnsi" w:eastAsiaTheme="majorEastAsia" w:hAnsiTheme="majorHAnsi" w:cstheme="majorBidi"/>
      <w:sz w:val="20"/>
    </w:rPr>
  </w:style>
  <w:style w:type="paragraph" w:customStyle="1" w:styleId="BulletList">
    <w:name w:val="Bullet List"/>
    <w:uiPriority w:val="1"/>
    <w:qFormat/>
    <w:rsid w:val="00865206"/>
    <w:pPr>
      <w:numPr>
        <w:numId w:val="1"/>
      </w:numPr>
      <w:spacing w:after="0" w:line="280" w:lineRule="atLeast"/>
    </w:pPr>
    <w:rPr>
      <w:rFonts w:ascii="Arial" w:hAnsi="Arial" w:cs="Times New Roman"/>
      <w:szCs w:val="20"/>
      <w:lang w:val="en-AU"/>
    </w:rPr>
  </w:style>
  <w:style w:type="paragraph" w:customStyle="1" w:styleId="FootnoteSeparator">
    <w:name w:val="Footnote Separator"/>
    <w:basedOn w:val="Normal"/>
    <w:semiHidden/>
    <w:qFormat/>
    <w:rsid w:val="00865206"/>
    <w:rPr>
      <w:color w:val="404040"/>
    </w:rPr>
  </w:style>
  <w:style w:type="paragraph" w:styleId="FootnoteText">
    <w:name w:val="footnote text"/>
    <w:link w:val="FootnoteTextChar"/>
    <w:uiPriority w:val="3"/>
    <w:rsid w:val="00865206"/>
    <w:pPr>
      <w:tabs>
        <w:tab w:val="left" w:pos="227"/>
      </w:tabs>
      <w:spacing w:after="60" w:line="240" w:lineRule="atLeast"/>
      <w:ind w:left="227" w:hanging="227"/>
    </w:pPr>
    <w:rPr>
      <w:rFonts w:ascii="Arial" w:hAnsi="Arial" w:cs="Times New Roman"/>
      <w:sz w:val="16"/>
      <w:szCs w:val="20"/>
      <w:lang w:val="en-AU"/>
    </w:rPr>
  </w:style>
  <w:style w:type="character" w:customStyle="1" w:styleId="FootnoteTextChar">
    <w:name w:val="Footnote Text Char"/>
    <w:basedOn w:val="DefaultParagraphFont"/>
    <w:link w:val="FootnoteText"/>
    <w:uiPriority w:val="3"/>
    <w:rsid w:val="00865206"/>
    <w:rPr>
      <w:rFonts w:ascii="Arial" w:hAnsi="Arial" w:cs="Times New Roman"/>
      <w:sz w:val="16"/>
      <w:szCs w:val="20"/>
      <w:lang w:val="en-AU"/>
    </w:rPr>
  </w:style>
  <w:style w:type="paragraph" w:customStyle="1" w:styleId="TableHeading1">
    <w:name w:val="Table Heading 1"/>
    <w:next w:val="Normal"/>
    <w:uiPriority w:val="2"/>
    <w:rsid w:val="00865206"/>
    <w:pPr>
      <w:spacing w:before="60" w:after="60" w:line="240" w:lineRule="atLeast"/>
    </w:pPr>
    <w:rPr>
      <w:rFonts w:ascii="Arial" w:hAnsi="Arial" w:cs="Arial"/>
      <w:b/>
      <w:bCs/>
      <w:sz w:val="18"/>
      <w:szCs w:val="14"/>
      <w:lang w:val="en-GB" w:eastAsia="en-GB"/>
    </w:rPr>
  </w:style>
  <w:style w:type="paragraph" w:customStyle="1" w:styleId="TableHeading2">
    <w:name w:val="Table Heading 2"/>
    <w:uiPriority w:val="2"/>
    <w:rsid w:val="00865206"/>
    <w:pPr>
      <w:widowControl w:val="0"/>
      <w:spacing w:before="60" w:after="60" w:line="240" w:lineRule="atLeast"/>
    </w:pPr>
    <w:rPr>
      <w:rFonts w:ascii="Arial" w:hAnsi="Arial" w:cs="Arial"/>
      <w:bCs/>
      <w:i/>
      <w:sz w:val="18"/>
      <w:szCs w:val="14"/>
    </w:rPr>
  </w:style>
  <w:style w:type="paragraph" w:customStyle="1" w:styleId="TableText">
    <w:name w:val="Table Text"/>
    <w:uiPriority w:val="1"/>
    <w:rsid w:val="00865206"/>
    <w:pPr>
      <w:autoSpaceDE w:val="0"/>
      <w:autoSpaceDN w:val="0"/>
      <w:adjustRightInd w:val="0"/>
      <w:spacing w:before="60" w:after="60" w:line="240" w:lineRule="atLeast"/>
    </w:pPr>
    <w:rPr>
      <w:rFonts w:ascii="Arial" w:hAnsi="Arial" w:cs="GillSans"/>
      <w:sz w:val="18"/>
      <w:szCs w:val="18"/>
      <w:lang w:val="en-GB" w:eastAsia="en-AU"/>
    </w:rPr>
  </w:style>
  <w:style w:type="paragraph" w:styleId="Title">
    <w:name w:val="Title"/>
    <w:basedOn w:val="Heading1"/>
    <w:next w:val="Normal"/>
    <w:link w:val="TitleChar"/>
    <w:uiPriority w:val="10"/>
    <w:unhideWhenUsed/>
    <w:rsid w:val="00865206"/>
    <w:rPr>
      <w:sz w:val="56"/>
      <w:szCs w:val="56"/>
      <w:lang w:val="en-NZ"/>
    </w:rPr>
  </w:style>
  <w:style w:type="character" w:customStyle="1" w:styleId="TitleChar">
    <w:name w:val="Title Char"/>
    <w:basedOn w:val="DefaultParagraphFont"/>
    <w:link w:val="Title"/>
    <w:uiPriority w:val="10"/>
    <w:rsid w:val="00865206"/>
    <w:rPr>
      <w:rFonts w:ascii="Arial Bold" w:hAnsi="Arial Bold" w:cs="Times New Roman"/>
      <w:b/>
      <w:sz w:val="56"/>
      <w:szCs w:val="56"/>
    </w:rPr>
  </w:style>
  <w:style w:type="character" w:styleId="Hyperlink">
    <w:name w:val="Hyperlink"/>
    <w:basedOn w:val="DefaultParagraphFont"/>
    <w:uiPriority w:val="99"/>
    <w:rsid w:val="00205395"/>
    <w:rPr>
      <w:color w:val="0083AC"/>
      <w:u w:val="single"/>
    </w:rPr>
  </w:style>
  <w:style w:type="paragraph" w:customStyle="1" w:styleId="Bullet-list">
    <w:name w:val="Bullet-list"/>
    <w:uiPriority w:val="99"/>
    <w:qFormat/>
    <w:rsid w:val="00205395"/>
    <w:pPr>
      <w:numPr>
        <w:numId w:val="2"/>
      </w:numPr>
      <w:spacing w:after="240" w:line="280" w:lineRule="atLeast"/>
    </w:pPr>
    <w:rPr>
      <w:rFonts w:ascii="Arial" w:hAnsi="Arial" w:cs="Times New Roman"/>
      <w:szCs w:val="20"/>
      <w:lang w:val="en-AU"/>
    </w:rPr>
  </w:style>
  <w:style w:type="table" w:styleId="TableGrid">
    <w:name w:val="Table Grid"/>
    <w:basedOn w:val="TableNormal"/>
    <w:uiPriority w:val="39"/>
    <w:rsid w:val="00205395"/>
    <w:pPr>
      <w:spacing w:after="0" w:line="240" w:lineRule="auto"/>
      <w:jc w:val="both"/>
    </w:pPr>
    <w:rPr>
      <w:rFonts w:ascii="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t.nz/information-and-services/nz-economy/higher-living-standards/our-living-standards-frame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easury.govt.nz/information-and-services/nz-economy/higher-living-standards/he-ara-wai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7591E-3D5E-4025-A3C4-BB43B195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650</Words>
  <Characters>3399</Characters>
  <Application>Microsoft Office Word</Application>
  <DocSecurity>0</DocSecurity>
  <Lines>77</Lines>
  <Paragraphs>41</Paragraphs>
  <ScaleCrop>false</ScaleCrop>
  <HeadingPairs>
    <vt:vector size="2" baseType="variant">
      <vt:variant>
        <vt:lpstr>Title</vt:lpstr>
      </vt:variant>
      <vt:variant>
        <vt:i4>1</vt:i4>
      </vt:variant>
    </vt:vector>
  </HeadingPairs>
  <TitlesOfParts>
    <vt:vector size="1" baseType="lpstr">
      <vt:lpstr>CBA Wellbeing Impacts Template - September 2021</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CBA Wellbeing Impacts Template - September 2021</dc:title>
  <dc:subject/>
  <dc:creator>New Zealand Treasury</dc:creator>
  <cp:keywords/>
  <dc:description/>
  <cp:lastModifiedBy>Jaynia Steel [TSY]</cp:lastModifiedBy>
  <cp:revision>5</cp:revision>
  <dcterms:created xsi:type="dcterms:W3CDTF">2021-09-28T02:20:00Z</dcterms:created>
  <dcterms:modified xsi:type="dcterms:W3CDTF">2021-09-29T21:15:00Z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HeaderFooterPropertyVersion">
    <vt:i4>1</vt:i4>
  </property>
  <property fmtid="{D5CDD505-2E9C-101B-9397-08002B2CF9AE}" pid="4" name="TsySecurityClassification">
    <vt:lpwstr>IN-CONFIDENCE</vt:lpwstr>
  </property>
  <property fmtid="{D5CDD505-2E9C-101B-9397-08002B2CF9AE}" pid="5" name="TsyDisplayedSecurityClassification">
    <vt:lpwstr>IN-CONFIDENCE</vt:lpwstr>
  </property>
  <property fmtid="{D5CDD505-2E9C-101B-9397-08002B2CF9AE}" pid="6" name="TsySeemailSecurityClassification">
    <vt:lpwstr> [IN-CONFIDENCE]</vt:lpwstr>
  </property>
  <property fmtid="{D5CDD505-2E9C-101B-9397-08002B2CF9AE}" pid="7" name="TsyDocNum">
    <vt:i4>4524595</vt:i4>
  </property>
  <property fmtid="{D5CDD505-2E9C-101B-9397-08002B2CF9AE}" pid="8" name="TsyDocVer">
    <vt:i4>1</vt:i4>
  </property>
  <property fmtid="{D5CDD505-2E9C-101B-9397-08002B2CF9AE}" pid="9" name="TsyDisplayedDocNumVer">
    <vt:lpwstr>Treasury:4524595v1</vt:lpwstr>
  </property>
  <property fmtid="{D5CDD505-2E9C-101B-9397-08002B2CF9AE}" pid="10" name="TsyFileNo">
    <vt:lpwstr>ST-4-9-5</vt:lpwstr>
  </property>
  <property fmtid="{D5CDD505-2E9C-101B-9397-08002B2CF9AE}" pid="11" name="TsyDescription">
    <vt:lpwstr>CBA Wellbeing Impacts Template September 2021</vt:lpwstr>
  </property>
  <property fmtid="{D5CDD505-2E9C-101B-9397-08002B2CF9AE}" pid="12" name="TsyTrNum">
    <vt:lpwstr> </vt:lpwstr>
  </property>
  <property fmtid="{D5CDD505-2E9C-101B-9397-08002B2CF9AE}" pid="13" name="TsyOiaNum">
    <vt:lpwstr> </vt:lpwstr>
  </property>
  <property fmtid="{D5CDD505-2E9C-101B-9397-08002B2CF9AE}" pid="14" name="TsyManagerUsername">
    <vt:lpwstr> </vt:lpwstr>
  </property>
  <property fmtid="{D5CDD505-2E9C-101B-9397-08002B2CF9AE}" pid="15" name="TsyManagerFullname">
    <vt:lpwstr> </vt:lpwstr>
  </property>
  <property fmtid="{D5CDD505-2E9C-101B-9397-08002B2CF9AE}" pid="16" name="TsyAuthorUsername">
    <vt:lpwstr>JENSENK</vt:lpwstr>
  </property>
  <property fmtid="{D5CDD505-2E9C-101B-9397-08002B2CF9AE}" pid="17" name="TsyAuthorFullname">
    <vt:lpwstr>Kirsten Jensen [TSY]</vt:lpwstr>
  </property>
</Properties>
</file>