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D321" w14:textId="1D8E4FEB" w:rsidR="00ED726B" w:rsidRPr="009753AF" w:rsidRDefault="001C101B" w:rsidP="00F63986">
      <w:pPr>
        <w:spacing w:line="240" w:lineRule="auto"/>
        <w:jc w:val="right"/>
        <w:rPr>
          <w:i/>
          <w:color w:val="1F4E79"/>
        </w:rPr>
      </w:pPr>
      <w:bookmarkStart w:id="0" w:name="_Toc309986016"/>
      <w:bookmarkStart w:id="1" w:name="_Toc315783471"/>
      <w:bookmarkStart w:id="2" w:name="_Toc317841511"/>
      <w:r>
        <w:rPr>
          <w:i/>
          <w:color w:val="1F4E79"/>
          <w:highlight w:val="yellow"/>
          <w:shd w:val="clear" w:color="auto" w:fill="FFF2CC"/>
        </w:rPr>
        <w:t>&lt;</w:t>
      </w:r>
      <w:r w:rsidR="00ED726B" w:rsidRPr="00A579F8">
        <w:rPr>
          <w:i/>
          <w:color w:val="1F4E79"/>
          <w:highlight w:val="yellow"/>
          <w:shd w:val="clear" w:color="auto" w:fill="FFF2CC"/>
        </w:rPr>
        <w:t>Agency logo&gt;</w:t>
      </w:r>
    </w:p>
    <w:p w14:paraId="381F72FA" w14:textId="77777777" w:rsidR="00A56C75" w:rsidRDefault="00A56C75" w:rsidP="00F63986">
      <w:pPr>
        <w:pStyle w:val="Subtitle"/>
        <w:spacing w:after="120"/>
        <w:rPr>
          <w:i/>
        </w:rPr>
      </w:pPr>
      <w:bookmarkStart w:id="3" w:name="OLE_LINK11"/>
      <w:bookmarkStart w:id="4" w:name="OLE_LINK12"/>
      <w:r w:rsidRPr="007E4C6C">
        <w:rPr>
          <w:i/>
          <w:highlight w:val="yellow"/>
        </w:rPr>
        <w:t>Template and Guidance</w:t>
      </w:r>
    </w:p>
    <w:p w14:paraId="298AC06E" w14:textId="77777777" w:rsidR="00ED726B" w:rsidRPr="00F841FB" w:rsidRDefault="00ED726B" w:rsidP="00F63986">
      <w:pPr>
        <w:pStyle w:val="Title"/>
        <w:spacing w:before="1080" w:after="120"/>
      </w:pPr>
      <w:r w:rsidRPr="00F841FB">
        <w:t>&lt;Agency Name&gt;</w:t>
      </w:r>
    </w:p>
    <w:p w14:paraId="4B050D1C" w14:textId="77777777" w:rsidR="00ED726B" w:rsidRPr="00F841FB" w:rsidRDefault="00F841FB" w:rsidP="00F63986">
      <w:pPr>
        <w:pStyle w:val="Title"/>
        <w:spacing w:before="360" w:after="120"/>
      </w:pPr>
      <w:r>
        <w:rPr>
          <w:highlight w:val="yellow"/>
        </w:rPr>
        <w:t>&lt;</w:t>
      </w:r>
      <w:r w:rsidR="00FF54D0" w:rsidRPr="00F841FB">
        <w:rPr>
          <w:highlight w:val="yellow"/>
        </w:rPr>
        <w:t>Project</w:t>
      </w:r>
      <w:r w:rsidR="00CD38D1">
        <w:rPr>
          <w:highlight w:val="yellow"/>
        </w:rPr>
        <w:t xml:space="preserve"> (or Programme </w:t>
      </w:r>
      <w:r w:rsidR="009C592A">
        <w:rPr>
          <w:highlight w:val="yellow"/>
        </w:rPr>
        <w:t xml:space="preserve">&amp; </w:t>
      </w:r>
      <w:r w:rsidR="006749FF" w:rsidRPr="00F841FB">
        <w:rPr>
          <w:highlight w:val="yellow"/>
        </w:rPr>
        <w:t>Tranche</w:t>
      </w:r>
      <w:r w:rsidR="00CD38D1" w:rsidRPr="00804B58">
        <w:rPr>
          <w:highlight w:val="yellow"/>
        </w:rPr>
        <w:t>)</w:t>
      </w:r>
      <w:r>
        <w:t xml:space="preserve"> </w:t>
      </w:r>
      <w:r w:rsidR="00ED726B" w:rsidRPr="00F841FB">
        <w:t>Name&gt;</w:t>
      </w:r>
    </w:p>
    <w:bookmarkEnd w:id="3"/>
    <w:bookmarkEnd w:id="4"/>
    <w:p w14:paraId="1BD4BA26" w14:textId="083C4730" w:rsidR="00ED726B" w:rsidRPr="00D17BFC" w:rsidRDefault="00F841FB" w:rsidP="00F841FB">
      <w:pPr>
        <w:pStyle w:val="Subtitle"/>
        <w:spacing w:after="120"/>
      </w:pPr>
      <w:r>
        <w:t>I</w:t>
      </w:r>
      <w:r w:rsidR="00FF54D0">
        <w:t>mplementation Bu</w:t>
      </w:r>
      <w:r>
        <w:t>s</w:t>
      </w:r>
      <w:r w:rsidR="00FF54D0">
        <w:t>iness Case</w:t>
      </w:r>
      <w:r w:rsidR="00682458">
        <w:t xml:space="preserve"> (</w:t>
      </w:r>
      <w:proofErr w:type="spellStart"/>
      <w:r w:rsidR="00682458">
        <w:t>ImBC</w:t>
      </w:r>
      <w:proofErr w:type="spellEnd"/>
      <w:r w:rsidR="00682458">
        <w:t>)</w:t>
      </w:r>
    </w:p>
    <w:p w14:paraId="4AF60883" w14:textId="77777777" w:rsidR="00FB7B65" w:rsidRDefault="00FB7B65" w:rsidP="00F63986"/>
    <w:p w14:paraId="5BB17915" w14:textId="77777777" w:rsidR="002F2B97" w:rsidRDefault="002F2B97" w:rsidP="00F63986"/>
    <w:tbl>
      <w:tblPr>
        <w:tblW w:w="906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5"/>
        <w:gridCol w:w="6227"/>
      </w:tblGrid>
      <w:tr w:rsidR="00ED726B" w:rsidRPr="00CC1667" w14:paraId="0B22A75A" w14:textId="77777777" w:rsidTr="009753AF">
        <w:trPr>
          <w:trHeight w:val="57"/>
        </w:trPr>
        <w:tc>
          <w:tcPr>
            <w:tcW w:w="2835" w:type="dxa"/>
            <w:tcBorders>
              <w:top w:val="single" w:sz="4" w:space="0" w:color="D9D9D9"/>
              <w:left w:val="single" w:sz="4" w:space="0" w:color="D9D9D9"/>
              <w:bottom w:val="single" w:sz="4" w:space="0" w:color="FFFFFF"/>
              <w:right w:val="single" w:sz="4" w:space="0" w:color="D9D9D9"/>
            </w:tcBorders>
            <w:shd w:val="clear" w:color="auto" w:fill="D9D9D9"/>
            <w:vAlign w:val="center"/>
          </w:tcPr>
          <w:p w14:paraId="427EFF42" w14:textId="77777777" w:rsidR="00ED726B" w:rsidRPr="008F7EA6" w:rsidRDefault="00ED726B" w:rsidP="00F63986">
            <w:pPr>
              <w:pStyle w:val="TableHeading"/>
              <w:spacing w:after="120"/>
            </w:pPr>
            <w:bookmarkStart w:id="5" w:name="_Toc364684054"/>
            <w:bookmarkStart w:id="6" w:name="_Toc364684172"/>
            <w:bookmarkStart w:id="7" w:name="_Toc378954367"/>
            <w:bookmarkStart w:id="8" w:name="_Toc380318526"/>
            <w:r w:rsidRPr="008F7EA6">
              <w:t>Prepared by:</w:t>
            </w:r>
          </w:p>
        </w:tc>
        <w:tc>
          <w:tcPr>
            <w:tcW w:w="6227" w:type="dxa"/>
            <w:tcBorders>
              <w:top w:val="single" w:sz="4" w:space="0" w:color="D9D9D9"/>
              <w:left w:val="single" w:sz="4" w:space="0" w:color="D9D9D9"/>
            </w:tcBorders>
            <w:shd w:val="clear" w:color="auto" w:fill="auto"/>
            <w:vAlign w:val="center"/>
          </w:tcPr>
          <w:p w14:paraId="1D135EA5" w14:textId="77777777" w:rsidR="00ED726B" w:rsidRPr="008F7EA6" w:rsidRDefault="00ED726B" w:rsidP="00F63986">
            <w:pPr>
              <w:pStyle w:val="TableText"/>
              <w:spacing w:after="120"/>
            </w:pPr>
          </w:p>
        </w:tc>
      </w:tr>
      <w:tr w:rsidR="00ED726B" w:rsidRPr="00CC1667" w14:paraId="03820AA1" w14:textId="77777777" w:rsidTr="009753AF">
        <w:trPr>
          <w:trHeight w:val="57"/>
        </w:trPr>
        <w:tc>
          <w:tcPr>
            <w:tcW w:w="2835" w:type="dxa"/>
            <w:tcBorders>
              <w:top w:val="single" w:sz="4" w:space="0" w:color="FFFFFF"/>
              <w:left w:val="single" w:sz="4" w:space="0" w:color="D9D9D9"/>
              <w:bottom w:val="single" w:sz="4" w:space="0" w:color="FFFFFF"/>
              <w:right w:val="single" w:sz="4" w:space="0" w:color="D9D9D9"/>
            </w:tcBorders>
            <w:shd w:val="clear" w:color="auto" w:fill="D9D9D9"/>
            <w:vAlign w:val="center"/>
          </w:tcPr>
          <w:p w14:paraId="4B7ADF24" w14:textId="77777777" w:rsidR="00ED726B" w:rsidRPr="008F7EA6" w:rsidRDefault="00ED726B" w:rsidP="00F63986">
            <w:pPr>
              <w:pStyle w:val="TableHeading"/>
              <w:spacing w:after="120"/>
            </w:pPr>
            <w:r w:rsidRPr="008F7EA6">
              <w:t>Prepared for:</w:t>
            </w:r>
          </w:p>
        </w:tc>
        <w:tc>
          <w:tcPr>
            <w:tcW w:w="6227" w:type="dxa"/>
            <w:tcBorders>
              <w:left w:val="single" w:sz="4" w:space="0" w:color="D9D9D9"/>
            </w:tcBorders>
            <w:shd w:val="clear" w:color="auto" w:fill="auto"/>
            <w:vAlign w:val="center"/>
          </w:tcPr>
          <w:p w14:paraId="43CF51CD" w14:textId="77777777" w:rsidR="00ED726B" w:rsidRPr="008F7EA6" w:rsidRDefault="00ED726B" w:rsidP="00F63986">
            <w:pPr>
              <w:pStyle w:val="TableText"/>
              <w:spacing w:after="120"/>
            </w:pPr>
          </w:p>
        </w:tc>
      </w:tr>
      <w:tr w:rsidR="00ED726B" w:rsidRPr="00CC1667" w14:paraId="182106C8" w14:textId="77777777" w:rsidTr="00646816">
        <w:trPr>
          <w:trHeight w:val="57"/>
        </w:trPr>
        <w:tc>
          <w:tcPr>
            <w:tcW w:w="2835" w:type="dxa"/>
            <w:tcBorders>
              <w:top w:val="single" w:sz="4" w:space="0" w:color="FFFFFF"/>
              <w:left w:val="single" w:sz="4" w:space="0" w:color="D9D9D9"/>
              <w:bottom w:val="single" w:sz="4" w:space="0" w:color="FFFFFF"/>
              <w:right w:val="single" w:sz="4" w:space="0" w:color="D9D9D9"/>
            </w:tcBorders>
            <w:shd w:val="clear" w:color="auto" w:fill="D9D9D9"/>
            <w:vAlign w:val="center"/>
          </w:tcPr>
          <w:p w14:paraId="2EDE7E35" w14:textId="77777777" w:rsidR="00ED726B" w:rsidRPr="008F7EA6" w:rsidRDefault="00ED726B" w:rsidP="00F63986">
            <w:pPr>
              <w:pStyle w:val="TableHeading"/>
              <w:spacing w:after="120"/>
            </w:pPr>
            <w:r w:rsidRPr="008F7EA6">
              <w:t>Date:</w:t>
            </w:r>
          </w:p>
        </w:tc>
        <w:tc>
          <w:tcPr>
            <w:tcW w:w="6227" w:type="dxa"/>
            <w:tcBorders>
              <w:left w:val="single" w:sz="4" w:space="0" w:color="D9D9D9"/>
            </w:tcBorders>
            <w:shd w:val="clear" w:color="auto" w:fill="auto"/>
            <w:vAlign w:val="center"/>
          </w:tcPr>
          <w:p w14:paraId="289C882E" w14:textId="77777777" w:rsidR="00ED726B" w:rsidRPr="008F7EA6" w:rsidRDefault="00ED726B" w:rsidP="00F63986">
            <w:pPr>
              <w:pStyle w:val="TableText"/>
              <w:spacing w:after="120"/>
            </w:pPr>
          </w:p>
        </w:tc>
      </w:tr>
      <w:tr w:rsidR="00ED726B" w:rsidRPr="00CC1667" w14:paraId="20C34E62" w14:textId="77777777" w:rsidTr="009753AF">
        <w:trPr>
          <w:trHeight w:val="57"/>
        </w:trPr>
        <w:tc>
          <w:tcPr>
            <w:tcW w:w="2835" w:type="dxa"/>
            <w:tcBorders>
              <w:top w:val="single" w:sz="4" w:space="0" w:color="FFFFFF"/>
              <w:left w:val="single" w:sz="4" w:space="0" w:color="D9D9D9"/>
              <w:bottom w:val="single" w:sz="4" w:space="0" w:color="FFFFFF"/>
              <w:right w:val="single" w:sz="4" w:space="0" w:color="D9D9D9"/>
            </w:tcBorders>
            <w:shd w:val="clear" w:color="auto" w:fill="D9D9D9"/>
            <w:vAlign w:val="center"/>
          </w:tcPr>
          <w:p w14:paraId="460DF7BB" w14:textId="77777777" w:rsidR="00ED726B" w:rsidRPr="008F7EA6" w:rsidRDefault="00ED726B" w:rsidP="00F63986">
            <w:pPr>
              <w:pStyle w:val="TableHeading"/>
              <w:spacing w:after="120"/>
            </w:pPr>
            <w:r w:rsidRPr="008F7EA6">
              <w:t>Version:</w:t>
            </w:r>
          </w:p>
        </w:tc>
        <w:tc>
          <w:tcPr>
            <w:tcW w:w="6227" w:type="dxa"/>
            <w:tcBorders>
              <w:left w:val="single" w:sz="4" w:space="0" w:color="D9D9D9"/>
            </w:tcBorders>
            <w:shd w:val="clear" w:color="auto" w:fill="auto"/>
            <w:vAlign w:val="center"/>
          </w:tcPr>
          <w:p w14:paraId="20E588F1" w14:textId="77777777" w:rsidR="00ED726B" w:rsidRPr="007E4C6C" w:rsidRDefault="00ED726B" w:rsidP="00F63986">
            <w:pPr>
              <w:pStyle w:val="TableText"/>
              <w:spacing w:after="120"/>
              <w:rPr>
                <w:i/>
                <w:color w:val="002469"/>
              </w:rPr>
            </w:pPr>
          </w:p>
        </w:tc>
      </w:tr>
      <w:tr w:rsidR="00ED726B" w:rsidRPr="00CC1667" w14:paraId="7F451AAC" w14:textId="77777777" w:rsidTr="00646816">
        <w:trPr>
          <w:trHeight w:val="57"/>
        </w:trPr>
        <w:tc>
          <w:tcPr>
            <w:tcW w:w="2835" w:type="dxa"/>
            <w:tcBorders>
              <w:top w:val="single" w:sz="4" w:space="0" w:color="FFFFFF"/>
              <w:left w:val="single" w:sz="4" w:space="0" w:color="D9D9D9"/>
              <w:bottom w:val="single" w:sz="4" w:space="0" w:color="FFFFFF"/>
              <w:right w:val="single" w:sz="4" w:space="0" w:color="D9D9D9"/>
            </w:tcBorders>
            <w:shd w:val="clear" w:color="auto" w:fill="D9D9D9"/>
            <w:vAlign w:val="center"/>
          </w:tcPr>
          <w:p w14:paraId="7FA2CE5A" w14:textId="77777777" w:rsidR="00ED726B" w:rsidRPr="008F7EA6" w:rsidRDefault="00ED726B" w:rsidP="00F63986">
            <w:pPr>
              <w:pStyle w:val="TableHeading"/>
              <w:spacing w:after="120"/>
            </w:pPr>
            <w:r w:rsidRPr="008F7EA6">
              <w:t>Status:</w:t>
            </w:r>
          </w:p>
        </w:tc>
        <w:tc>
          <w:tcPr>
            <w:tcW w:w="6227" w:type="dxa"/>
            <w:tcBorders>
              <w:left w:val="single" w:sz="4" w:space="0" w:color="D9D9D9"/>
              <w:bottom w:val="single" w:sz="4" w:space="0" w:color="D9D9D9"/>
            </w:tcBorders>
            <w:shd w:val="clear" w:color="auto" w:fill="auto"/>
            <w:vAlign w:val="center"/>
          </w:tcPr>
          <w:p w14:paraId="23D36136" w14:textId="77777777" w:rsidR="00ED726B" w:rsidRPr="008F7EA6" w:rsidRDefault="00ED726B" w:rsidP="00F63986">
            <w:pPr>
              <w:pStyle w:val="TableText"/>
              <w:spacing w:after="120"/>
            </w:pPr>
          </w:p>
        </w:tc>
      </w:tr>
      <w:tr w:rsidR="007E4C6C" w:rsidRPr="00CC1667" w14:paraId="3E949619" w14:textId="77777777" w:rsidTr="007E4C6C">
        <w:trPr>
          <w:trHeight w:val="57"/>
        </w:trPr>
        <w:tc>
          <w:tcPr>
            <w:tcW w:w="2835" w:type="dxa"/>
            <w:tcBorders>
              <w:top w:val="single" w:sz="4" w:space="0" w:color="FFFFFF"/>
              <w:left w:val="single" w:sz="4" w:space="0" w:color="D9D9D9"/>
              <w:bottom w:val="single" w:sz="4" w:space="0" w:color="D9D9D9"/>
              <w:right w:val="single" w:sz="4" w:space="0" w:color="D9D9D9"/>
            </w:tcBorders>
            <w:shd w:val="clear" w:color="auto" w:fill="D9D9D9"/>
            <w:vAlign w:val="center"/>
          </w:tcPr>
          <w:p w14:paraId="191D3252" w14:textId="613582C9" w:rsidR="007E4C6C" w:rsidRPr="008F7EA6" w:rsidRDefault="007E4C6C" w:rsidP="00F63986">
            <w:pPr>
              <w:pStyle w:val="TableHeading"/>
              <w:spacing w:after="120"/>
            </w:pPr>
            <w:r>
              <w:t xml:space="preserve">Template </w:t>
            </w:r>
            <w:r w:rsidR="00D0019D">
              <w:t>v</w:t>
            </w:r>
            <w:r w:rsidRPr="008F7EA6">
              <w:t>ersion:</w:t>
            </w:r>
          </w:p>
        </w:tc>
        <w:tc>
          <w:tcPr>
            <w:tcW w:w="6227" w:type="dxa"/>
            <w:tcBorders>
              <w:top w:val="single" w:sz="4" w:space="0" w:color="DDDDDD"/>
              <w:left w:val="single" w:sz="4" w:space="0" w:color="D9D9D9"/>
              <w:bottom w:val="single" w:sz="4" w:space="0" w:color="D9D9D9"/>
              <w:right w:val="single" w:sz="4" w:space="0" w:color="DDDDDD"/>
            </w:tcBorders>
            <w:shd w:val="clear" w:color="auto" w:fill="auto"/>
            <w:vAlign w:val="center"/>
          </w:tcPr>
          <w:p w14:paraId="102034C1" w14:textId="670B016A" w:rsidR="007E4C6C" w:rsidRPr="007E4C6C" w:rsidRDefault="00682458" w:rsidP="00045EDD">
            <w:pPr>
              <w:pStyle w:val="TableText"/>
              <w:spacing w:after="120"/>
              <w:rPr>
                <w:i/>
                <w:color w:val="002469"/>
              </w:rPr>
            </w:pPr>
            <w:r>
              <w:rPr>
                <w:i/>
                <w:color w:val="002469"/>
                <w:highlight w:val="yellow"/>
              </w:rPr>
              <w:t>September</w:t>
            </w:r>
            <w:r w:rsidR="00045EDD" w:rsidRPr="00FF54D0">
              <w:rPr>
                <w:i/>
                <w:color w:val="002469"/>
                <w:highlight w:val="yellow"/>
              </w:rPr>
              <w:t xml:space="preserve"> </w:t>
            </w:r>
            <w:r w:rsidR="00FF54D0" w:rsidRPr="00FF54D0">
              <w:rPr>
                <w:i/>
                <w:color w:val="002469"/>
                <w:highlight w:val="yellow"/>
              </w:rPr>
              <w:t>2020</w:t>
            </w:r>
            <w:r w:rsidR="007E4C6C">
              <w:rPr>
                <w:i/>
                <w:color w:val="002469"/>
              </w:rPr>
              <w:t xml:space="preserve"> (check </w:t>
            </w:r>
            <w:hyperlink r:id="rId11" w:history="1">
              <w:r w:rsidR="007E4C6C" w:rsidRPr="00D17BFC">
                <w:rPr>
                  <w:rStyle w:val="Hyperlink"/>
                  <w:i/>
                </w:rPr>
                <w:t>Treasury website</w:t>
              </w:r>
            </w:hyperlink>
            <w:r w:rsidR="007E4C6C">
              <w:rPr>
                <w:i/>
                <w:color w:val="002469"/>
              </w:rPr>
              <w:t xml:space="preserve"> </w:t>
            </w:r>
            <w:r w:rsidR="007E4C6C" w:rsidRPr="007E4C6C">
              <w:rPr>
                <w:i/>
                <w:color w:val="002469"/>
              </w:rPr>
              <w:t>for update</w:t>
            </w:r>
            <w:r w:rsidR="007E4C6C">
              <w:rPr>
                <w:i/>
                <w:color w:val="002469"/>
              </w:rPr>
              <w:t>s</w:t>
            </w:r>
            <w:r w:rsidR="007E4C6C" w:rsidRPr="007E4C6C">
              <w:rPr>
                <w:i/>
                <w:color w:val="002469"/>
              </w:rPr>
              <w:t>)</w:t>
            </w:r>
          </w:p>
        </w:tc>
      </w:tr>
    </w:tbl>
    <w:p w14:paraId="654F0995" w14:textId="77777777" w:rsidR="00F23F0E" w:rsidRDefault="00F23F0E" w:rsidP="00F63986"/>
    <w:p w14:paraId="242F846E" w14:textId="77777777" w:rsidR="006774C9" w:rsidRDefault="006774C9" w:rsidP="00B002DE"/>
    <w:p w14:paraId="4DF827A2" w14:textId="77777777" w:rsidR="00F23F0E" w:rsidRPr="006774C9" w:rsidRDefault="00F23F0E" w:rsidP="006774C9">
      <w:pPr>
        <w:sectPr w:rsidR="00F23F0E" w:rsidRPr="006774C9" w:rsidSect="008B324D">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992" w:left="1418" w:header="454" w:footer="454" w:gutter="0"/>
          <w:pgNumType w:start="1"/>
          <w:cols w:space="720"/>
          <w:titlePg/>
          <w:docGrid w:linePitch="360"/>
        </w:sectPr>
      </w:pPr>
    </w:p>
    <w:p w14:paraId="38409317" w14:textId="2057BBE3" w:rsidR="007F34D1" w:rsidRDefault="00B83120" w:rsidP="006E4FDB">
      <w:pPr>
        <w:pStyle w:val="Heading1"/>
      </w:pPr>
      <w:bookmarkStart w:id="9" w:name="_Toc525650091"/>
      <w:r w:rsidRPr="00F841FB">
        <w:rPr>
          <w:highlight w:val="yellow"/>
        </w:rPr>
        <w:lastRenderedPageBreak/>
        <w:t>&lt;Agency name&gt; &lt;</w:t>
      </w:r>
      <w:r w:rsidR="00754137" w:rsidRPr="00F841FB">
        <w:rPr>
          <w:highlight w:val="yellow"/>
        </w:rPr>
        <w:t>Pro</w:t>
      </w:r>
      <w:r w:rsidR="00FF54D0" w:rsidRPr="00F841FB">
        <w:rPr>
          <w:highlight w:val="yellow"/>
        </w:rPr>
        <w:t>ject</w:t>
      </w:r>
      <w:r w:rsidR="00CD38D1">
        <w:rPr>
          <w:highlight w:val="yellow"/>
        </w:rPr>
        <w:t xml:space="preserve"> (or Programme </w:t>
      </w:r>
      <w:r w:rsidR="009C592A">
        <w:rPr>
          <w:highlight w:val="yellow"/>
        </w:rPr>
        <w:t xml:space="preserve">&amp; </w:t>
      </w:r>
      <w:r w:rsidR="006749FF" w:rsidRPr="00F841FB">
        <w:rPr>
          <w:highlight w:val="yellow"/>
        </w:rPr>
        <w:t>Tranche</w:t>
      </w:r>
      <w:r w:rsidR="00CD38D1">
        <w:rPr>
          <w:highlight w:val="yellow"/>
        </w:rPr>
        <w:t>)</w:t>
      </w:r>
      <w:r w:rsidR="00754137" w:rsidRPr="00F841FB">
        <w:rPr>
          <w:highlight w:val="yellow"/>
        </w:rPr>
        <w:t xml:space="preserve"> Name&gt;</w:t>
      </w:r>
    </w:p>
    <w:p w14:paraId="44154A1E" w14:textId="70F2ABF3" w:rsidR="00754137" w:rsidRPr="00F841FB" w:rsidRDefault="00FF54D0" w:rsidP="00211397">
      <w:pPr>
        <w:pStyle w:val="Heading1"/>
        <w:pageBreakBefore w:val="0"/>
      </w:pPr>
      <w:r w:rsidRPr="00F841FB">
        <w:t>Implementation</w:t>
      </w:r>
      <w:r w:rsidR="006749FF" w:rsidRPr="00F841FB">
        <w:t xml:space="preserve"> Business </w:t>
      </w:r>
      <w:r w:rsidR="000915F7" w:rsidRPr="00F841FB">
        <w:t>Case</w:t>
      </w:r>
      <w:bookmarkEnd w:id="9"/>
      <w:r w:rsidR="001A082C" w:rsidRPr="00F841FB">
        <w:t xml:space="preserve"> (</w:t>
      </w:r>
      <w:proofErr w:type="spellStart"/>
      <w:r w:rsidR="001A082C" w:rsidRPr="00F841FB">
        <w:t>ImBC</w:t>
      </w:r>
      <w:proofErr w:type="spellEnd"/>
      <w:r w:rsidR="001A082C" w:rsidRPr="00F841FB">
        <w:t>)</w:t>
      </w:r>
    </w:p>
    <w:p w14:paraId="7FC939AF" w14:textId="77777777" w:rsidR="00754137" w:rsidRPr="00D263A3" w:rsidRDefault="00754137" w:rsidP="00F841FB">
      <w:pPr>
        <w:rPr>
          <w:b/>
          <w:sz w:val="32"/>
          <w:szCs w:val="32"/>
        </w:rPr>
      </w:pPr>
      <w:bookmarkStart w:id="10" w:name="_Toc364684055"/>
      <w:bookmarkStart w:id="11" w:name="_Toc364684173"/>
      <w:bookmarkStart w:id="12" w:name="_Toc378954368"/>
      <w:bookmarkStart w:id="13" w:name="_Toc380318527"/>
      <w:bookmarkStart w:id="14" w:name="_Toc525650092"/>
      <w:r w:rsidRPr="00D263A3">
        <w:rPr>
          <w:b/>
          <w:sz w:val="32"/>
          <w:szCs w:val="32"/>
        </w:rPr>
        <w:t>Document Control</w:t>
      </w:r>
      <w:bookmarkEnd w:id="10"/>
      <w:bookmarkEnd w:id="11"/>
      <w:bookmarkEnd w:id="12"/>
      <w:bookmarkEnd w:id="13"/>
      <w:bookmarkEnd w:id="14"/>
    </w:p>
    <w:p w14:paraId="65B6F824" w14:textId="77777777" w:rsidR="00754137" w:rsidRPr="00F841FB" w:rsidRDefault="00754137" w:rsidP="00F841FB">
      <w:pPr>
        <w:rPr>
          <w:color w:val="002469"/>
          <w:sz w:val="32"/>
          <w:szCs w:val="32"/>
        </w:rPr>
      </w:pPr>
      <w:bookmarkStart w:id="15" w:name="_Toc317233673"/>
      <w:bookmarkStart w:id="16" w:name="_Toc317276264"/>
      <w:bookmarkStart w:id="17" w:name="_Toc317709213"/>
      <w:bookmarkStart w:id="18" w:name="_Toc364684056"/>
      <w:r w:rsidRPr="00F841FB">
        <w:rPr>
          <w:b/>
          <w:color w:val="002469"/>
          <w:sz w:val="32"/>
          <w:szCs w:val="32"/>
        </w:rPr>
        <w:t>Document Information</w:t>
      </w:r>
      <w:bookmarkEnd w:id="15"/>
      <w:bookmarkEnd w:id="16"/>
      <w:bookmarkEnd w:id="17"/>
      <w:bookmarkEnd w:id="18"/>
    </w:p>
    <w:tbl>
      <w:tblP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94"/>
        <w:gridCol w:w="6178"/>
      </w:tblGrid>
      <w:tr w:rsidR="00754137" w:rsidRPr="00B25075" w14:paraId="7B9386D4" w14:textId="77777777" w:rsidTr="00F23F0E">
        <w:tc>
          <w:tcPr>
            <w:tcW w:w="2894" w:type="dxa"/>
            <w:tcBorders>
              <w:top w:val="single" w:sz="4" w:space="0" w:color="D9D9D9"/>
              <w:left w:val="single" w:sz="4" w:space="0" w:color="D9D9D9"/>
              <w:bottom w:val="single" w:sz="4" w:space="0" w:color="D9D9D9"/>
              <w:right w:val="single" w:sz="4" w:space="0" w:color="FFFFFF"/>
            </w:tcBorders>
            <w:shd w:val="clear" w:color="auto" w:fill="DEEAF5"/>
          </w:tcPr>
          <w:p w14:paraId="375A69CD" w14:textId="77777777" w:rsidR="00754137" w:rsidRPr="00B25075" w:rsidRDefault="00754137" w:rsidP="00F63986">
            <w:pPr>
              <w:pStyle w:val="TableHeading"/>
              <w:spacing w:after="120"/>
            </w:pPr>
          </w:p>
        </w:tc>
        <w:tc>
          <w:tcPr>
            <w:tcW w:w="6178" w:type="dxa"/>
            <w:tcBorders>
              <w:top w:val="single" w:sz="4" w:space="0" w:color="D9D9D9"/>
              <w:left w:val="single" w:sz="4" w:space="0" w:color="FFFFFF"/>
              <w:bottom w:val="single" w:sz="4" w:space="0" w:color="D9D9D9"/>
              <w:right w:val="single" w:sz="4" w:space="0" w:color="D9D9D9"/>
            </w:tcBorders>
            <w:shd w:val="clear" w:color="auto" w:fill="DEEAF5"/>
          </w:tcPr>
          <w:p w14:paraId="2299A674" w14:textId="77777777" w:rsidR="00754137" w:rsidRPr="00B25075" w:rsidRDefault="00754137" w:rsidP="00F63986">
            <w:pPr>
              <w:pStyle w:val="TableHeading"/>
              <w:spacing w:after="120"/>
            </w:pPr>
          </w:p>
        </w:tc>
      </w:tr>
      <w:tr w:rsidR="00754137" w:rsidRPr="00CC1667" w14:paraId="7736DCFC" w14:textId="77777777" w:rsidTr="009753AF">
        <w:tc>
          <w:tcPr>
            <w:tcW w:w="2943" w:type="dxa"/>
            <w:tcBorders>
              <w:top w:val="single" w:sz="4" w:space="0" w:color="D9D9D9"/>
            </w:tcBorders>
            <w:shd w:val="clear" w:color="auto" w:fill="auto"/>
          </w:tcPr>
          <w:p w14:paraId="65A87949" w14:textId="77777777" w:rsidR="00754137" w:rsidRPr="00CC1667" w:rsidRDefault="00754137" w:rsidP="00F63986">
            <w:pPr>
              <w:pStyle w:val="TableText"/>
              <w:spacing w:after="120"/>
              <w:rPr>
                <w:lang w:eastAsia="en-GB"/>
              </w:rPr>
            </w:pPr>
            <w:r w:rsidRPr="00CC1667">
              <w:rPr>
                <w:lang w:eastAsia="en-GB"/>
              </w:rPr>
              <w:t>Document ID</w:t>
            </w:r>
          </w:p>
        </w:tc>
        <w:tc>
          <w:tcPr>
            <w:tcW w:w="6344" w:type="dxa"/>
            <w:tcBorders>
              <w:top w:val="single" w:sz="4" w:space="0" w:color="D9D9D9"/>
            </w:tcBorders>
            <w:shd w:val="clear" w:color="auto" w:fill="auto"/>
          </w:tcPr>
          <w:p w14:paraId="0B41D28B" w14:textId="77777777" w:rsidR="00754137" w:rsidRPr="00F1160A" w:rsidRDefault="00754137" w:rsidP="00F63986">
            <w:pPr>
              <w:pStyle w:val="TableText"/>
              <w:spacing w:after="120"/>
              <w:rPr>
                <w:i/>
                <w:lang w:eastAsia="en-GB"/>
              </w:rPr>
            </w:pPr>
          </w:p>
        </w:tc>
      </w:tr>
      <w:tr w:rsidR="00754137" w:rsidRPr="00CC1667" w14:paraId="1F59CB25" w14:textId="77777777" w:rsidTr="0093742F">
        <w:tc>
          <w:tcPr>
            <w:tcW w:w="2943" w:type="dxa"/>
            <w:shd w:val="clear" w:color="auto" w:fill="auto"/>
          </w:tcPr>
          <w:p w14:paraId="0EC89C1F" w14:textId="77777777" w:rsidR="00754137" w:rsidRPr="00CC1667" w:rsidRDefault="00CA530A" w:rsidP="00F63986">
            <w:pPr>
              <w:pStyle w:val="TableText"/>
              <w:spacing w:after="120"/>
              <w:rPr>
                <w:lang w:eastAsia="en-GB"/>
              </w:rPr>
            </w:pPr>
            <w:r>
              <w:rPr>
                <w:lang w:eastAsia="en-GB"/>
              </w:rPr>
              <w:t>Document owner</w:t>
            </w:r>
          </w:p>
        </w:tc>
        <w:tc>
          <w:tcPr>
            <w:tcW w:w="6344" w:type="dxa"/>
            <w:shd w:val="clear" w:color="auto" w:fill="auto"/>
          </w:tcPr>
          <w:p w14:paraId="411A0C61" w14:textId="77777777" w:rsidR="00754137" w:rsidRPr="00CC1667" w:rsidRDefault="00754137" w:rsidP="00F63986">
            <w:pPr>
              <w:pStyle w:val="TableText"/>
              <w:spacing w:after="120"/>
              <w:rPr>
                <w:lang w:eastAsia="en-GB"/>
              </w:rPr>
            </w:pPr>
          </w:p>
        </w:tc>
      </w:tr>
      <w:tr w:rsidR="00754137" w:rsidRPr="00CC1667" w14:paraId="10B007A4" w14:textId="77777777" w:rsidTr="0093742F">
        <w:tc>
          <w:tcPr>
            <w:tcW w:w="2943" w:type="dxa"/>
            <w:shd w:val="clear" w:color="auto" w:fill="auto"/>
          </w:tcPr>
          <w:p w14:paraId="52D2FF1D" w14:textId="77777777" w:rsidR="00754137" w:rsidRPr="00CC1667" w:rsidRDefault="00CA530A" w:rsidP="00F63986">
            <w:pPr>
              <w:pStyle w:val="TableText"/>
              <w:spacing w:after="120"/>
              <w:rPr>
                <w:lang w:eastAsia="en-GB"/>
              </w:rPr>
            </w:pPr>
            <w:r>
              <w:rPr>
                <w:lang w:eastAsia="en-GB"/>
              </w:rPr>
              <w:t>Issue d</w:t>
            </w:r>
            <w:r w:rsidR="00754137" w:rsidRPr="00CC1667">
              <w:rPr>
                <w:lang w:eastAsia="en-GB"/>
              </w:rPr>
              <w:t>ate</w:t>
            </w:r>
          </w:p>
        </w:tc>
        <w:tc>
          <w:tcPr>
            <w:tcW w:w="6344" w:type="dxa"/>
            <w:shd w:val="clear" w:color="auto" w:fill="auto"/>
          </w:tcPr>
          <w:p w14:paraId="0391EFFA" w14:textId="77777777" w:rsidR="00754137" w:rsidRPr="00CC1667" w:rsidRDefault="00754137" w:rsidP="00F63986">
            <w:pPr>
              <w:pStyle w:val="TableText"/>
              <w:spacing w:after="120"/>
              <w:rPr>
                <w:lang w:eastAsia="en-GB"/>
              </w:rPr>
            </w:pPr>
          </w:p>
        </w:tc>
      </w:tr>
      <w:tr w:rsidR="00754137" w:rsidRPr="00CC1667" w14:paraId="4447CA11" w14:textId="77777777" w:rsidTr="0093742F">
        <w:tc>
          <w:tcPr>
            <w:tcW w:w="2943" w:type="dxa"/>
            <w:shd w:val="clear" w:color="auto" w:fill="auto"/>
          </w:tcPr>
          <w:p w14:paraId="4C21CC6F" w14:textId="77777777" w:rsidR="00754137" w:rsidRPr="00CC1667" w:rsidRDefault="00CA530A" w:rsidP="00F63986">
            <w:pPr>
              <w:pStyle w:val="TableText"/>
              <w:spacing w:after="120"/>
              <w:rPr>
                <w:lang w:eastAsia="en-GB"/>
              </w:rPr>
            </w:pPr>
            <w:r>
              <w:rPr>
                <w:lang w:eastAsia="en-GB"/>
              </w:rPr>
              <w:t>Filen</w:t>
            </w:r>
            <w:r w:rsidR="00754137" w:rsidRPr="00CC1667">
              <w:rPr>
                <w:lang w:eastAsia="en-GB"/>
              </w:rPr>
              <w:t>ame</w:t>
            </w:r>
          </w:p>
        </w:tc>
        <w:tc>
          <w:tcPr>
            <w:tcW w:w="6344" w:type="dxa"/>
            <w:shd w:val="clear" w:color="auto" w:fill="auto"/>
          </w:tcPr>
          <w:p w14:paraId="47AC9E75" w14:textId="77777777" w:rsidR="00754137" w:rsidRPr="00CC1667" w:rsidRDefault="00754137" w:rsidP="00F63986">
            <w:pPr>
              <w:pStyle w:val="TableText"/>
              <w:spacing w:after="120"/>
              <w:rPr>
                <w:lang w:eastAsia="en-GB"/>
              </w:rPr>
            </w:pPr>
          </w:p>
        </w:tc>
      </w:tr>
    </w:tbl>
    <w:p w14:paraId="111FC6AB" w14:textId="77777777" w:rsidR="00754137" w:rsidRPr="00F841FB" w:rsidRDefault="00754137" w:rsidP="00F841FB">
      <w:pPr>
        <w:spacing w:before="240"/>
        <w:rPr>
          <w:b/>
          <w:color w:val="002469"/>
          <w:sz w:val="32"/>
          <w:szCs w:val="32"/>
        </w:rPr>
      </w:pPr>
      <w:bookmarkStart w:id="19" w:name="_Toc309986018"/>
      <w:bookmarkStart w:id="20" w:name="_Toc315783473"/>
      <w:bookmarkStart w:id="21" w:name="_Toc317841513"/>
      <w:bookmarkStart w:id="22" w:name="_Toc364684057"/>
      <w:r w:rsidRPr="00F841FB">
        <w:rPr>
          <w:b/>
          <w:color w:val="002469"/>
          <w:sz w:val="32"/>
          <w:szCs w:val="32"/>
        </w:rPr>
        <w:t>Document History</w:t>
      </w:r>
      <w:bookmarkEnd w:id="19"/>
      <w:bookmarkEnd w:id="20"/>
      <w:bookmarkEnd w:id="21"/>
      <w:bookmarkEnd w:id="22"/>
    </w:p>
    <w:tbl>
      <w:tblP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231"/>
        <w:gridCol w:w="1664"/>
        <w:gridCol w:w="6177"/>
      </w:tblGrid>
      <w:tr w:rsidR="00754137" w:rsidRPr="00B25075" w14:paraId="4FF11152" w14:textId="77777777" w:rsidTr="00F23F0E">
        <w:tc>
          <w:tcPr>
            <w:tcW w:w="1242" w:type="dxa"/>
            <w:tcBorders>
              <w:top w:val="single" w:sz="4" w:space="0" w:color="D9D9D9"/>
              <w:left w:val="single" w:sz="4" w:space="0" w:color="D9D9D9"/>
              <w:bottom w:val="single" w:sz="4" w:space="0" w:color="D9D9D9"/>
              <w:right w:val="single" w:sz="4" w:space="0" w:color="FFFFFF"/>
            </w:tcBorders>
            <w:shd w:val="clear" w:color="auto" w:fill="DEEAF5"/>
          </w:tcPr>
          <w:p w14:paraId="0B155575" w14:textId="77777777" w:rsidR="00754137" w:rsidRPr="00B25075" w:rsidRDefault="00754137" w:rsidP="00F63986">
            <w:pPr>
              <w:pStyle w:val="TableHeading"/>
              <w:spacing w:after="120"/>
            </w:pPr>
            <w:r w:rsidRPr="00B25075">
              <w:t>Version</w:t>
            </w:r>
          </w:p>
        </w:tc>
        <w:tc>
          <w:tcPr>
            <w:tcW w:w="1701" w:type="dxa"/>
            <w:tcBorders>
              <w:top w:val="single" w:sz="4" w:space="0" w:color="D9D9D9"/>
              <w:left w:val="single" w:sz="4" w:space="0" w:color="FFFFFF"/>
              <w:bottom w:val="single" w:sz="4" w:space="0" w:color="D9D9D9"/>
              <w:right w:val="single" w:sz="4" w:space="0" w:color="FFFFFF"/>
            </w:tcBorders>
            <w:shd w:val="clear" w:color="auto" w:fill="DEEAF5"/>
          </w:tcPr>
          <w:p w14:paraId="4C7C19FB" w14:textId="77777777" w:rsidR="00754137" w:rsidRPr="00B25075" w:rsidRDefault="00CA530A" w:rsidP="00F63986">
            <w:pPr>
              <w:pStyle w:val="TableHeading"/>
              <w:spacing w:after="120"/>
            </w:pPr>
            <w:r>
              <w:t>Issue d</w:t>
            </w:r>
            <w:r w:rsidR="00754137" w:rsidRPr="00B25075">
              <w:t>ate</w:t>
            </w:r>
          </w:p>
        </w:tc>
        <w:tc>
          <w:tcPr>
            <w:tcW w:w="6379" w:type="dxa"/>
            <w:tcBorders>
              <w:top w:val="single" w:sz="4" w:space="0" w:color="D9D9D9"/>
              <w:left w:val="single" w:sz="4" w:space="0" w:color="FFFFFF"/>
              <w:bottom w:val="single" w:sz="4" w:space="0" w:color="D9D9D9"/>
              <w:right w:val="single" w:sz="4" w:space="0" w:color="D9D9D9"/>
            </w:tcBorders>
            <w:shd w:val="clear" w:color="auto" w:fill="DEEAF5"/>
          </w:tcPr>
          <w:p w14:paraId="4FFDA007" w14:textId="77777777" w:rsidR="00754137" w:rsidRPr="00B25075" w:rsidRDefault="00754137" w:rsidP="00F63986">
            <w:pPr>
              <w:pStyle w:val="TableHeading"/>
              <w:spacing w:after="120"/>
            </w:pPr>
            <w:r w:rsidRPr="00B25075">
              <w:t>Changes</w:t>
            </w:r>
          </w:p>
        </w:tc>
      </w:tr>
      <w:tr w:rsidR="00754137" w:rsidRPr="00CC1667" w14:paraId="52A9A673" w14:textId="77777777" w:rsidTr="009753AF">
        <w:tc>
          <w:tcPr>
            <w:tcW w:w="1242" w:type="dxa"/>
            <w:tcBorders>
              <w:top w:val="single" w:sz="4" w:space="0" w:color="D9D9D9"/>
            </w:tcBorders>
            <w:shd w:val="clear" w:color="auto" w:fill="auto"/>
          </w:tcPr>
          <w:p w14:paraId="6E325C64" w14:textId="77777777" w:rsidR="00754137" w:rsidRPr="00CC1667" w:rsidRDefault="00754137" w:rsidP="00F63986">
            <w:pPr>
              <w:pStyle w:val="TableText"/>
              <w:spacing w:after="120"/>
              <w:rPr>
                <w:lang w:eastAsia="en-GB"/>
              </w:rPr>
            </w:pPr>
          </w:p>
        </w:tc>
        <w:tc>
          <w:tcPr>
            <w:tcW w:w="1701" w:type="dxa"/>
            <w:tcBorders>
              <w:top w:val="single" w:sz="4" w:space="0" w:color="D9D9D9"/>
            </w:tcBorders>
            <w:shd w:val="clear" w:color="auto" w:fill="auto"/>
          </w:tcPr>
          <w:p w14:paraId="1D0F4DDC" w14:textId="77777777" w:rsidR="00754137" w:rsidRPr="00CA7A08" w:rsidRDefault="00754137" w:rsidP="00F63986">
            <w:pPr>
              <w:pStyle w:val="TableText"/>
              <w:spacing w:after="120"/>
              <w:rPr>
                <w:lang w:eastAsia="en-GB"/>
              </w:rPr>
            </w:pPr>
          </w:p>
        </w:tc>
        <w:tc>
          <w:tcPr>
            <w:tcW w:w="6379" w:type="dxa"/>
            <w:tcBorders>
              <w:top w:val="single" w:sz="4" w:space="0" w:color="D9D9D9"/>
            </w:tcBorders>
            <w:shd w:val="clear" w:color="auto" w:fill="auto"/>
          </w:tcPr>
          <w:p w14:paraId="6F2AA931" w14:textId="77777777" w:rsidR="00754137" w:rsidRPr="00CC1667" w:rsidRDefault="00754137" w:rsidP="00F63986">
            <w:pPr>
              <w:pStyle w:val="TableText"/>
              <w:spacing w:after="120"/>
              <w:rPr>
                <w:lang w:eastAsia="en-GB"/>
              </w:rPr>
            </w:pPr>
          </w:p>
        </w:tc>
      </w:tr>
      <w:tr w:rsidR="00754137" w:rsidRPr="00CC1667" w14:paraId="5C0E69ED" w14:textId="77777777" w:rsidTr="0093742F">
        <w:tc>
          <w:tcPr>
            <w:tcW w:w="1242" w:type="dxa"/>
            <w:shd w:val="clear" w:color="auto" w:fill="auto"/>
          </w:tcPr>
          <w:p w14:paraId="5163681C" w14:textId="77777777" w:rsidR="00754137" w:rsidRPr="00CC1667" w:rsidRDefault="00754137" w:rsidP="00F63986">
            <w:pPr>
              <w:pStyle w:val="TableText"/>
              <w:spacing w:after="120"/>
              <w:rPr>
                <w:lang w:eastAsia="en-GB"/>
              </w:rPr>
            </w:pPr>
          </w:p>
        </w:tc>
        <w:tc>
          <w:tcPr>
            <w:tcW w:w="1701" w:type="dxa"/>
            <w:shd w:val="clear" w:color="auto" w:fill="auto"/>
          </w:tcPr>
          <w:p w14:paraId="6D9DEE4F" w14:textId="77777777" w:rsidR="00754137" w:rsidRPr="00CC1667" w:rsidRDefault="00754137" w:rsidP="00F63986">
            <w:pPr>
              <w:pStyle w:val="TableText"/>
              <w:spacing w:after="120"/>
              <w:rPr>
                <w:lang w:eastAsia="en-GB"/>
              </w:rPr>
            </w:pPr>
          </w:p>
        </w:tc>
        <w:tc>
          <w:tcPr>
            <w:tcW w:w="6379" w:type="dxa"/>
            <w:shd w:val="clear" w:color="auto" w:fill="auto"/>
          </w:tcPr>
          <w:p w14:paraId="5ECC3B5E" w14:textId="77777777" w:rsidR="00754137" w:rsidRPr="00CC1667" w:rsidRDefault="00754137" w:rsidP="00F63986">
            <w:pPr>
              <w:pStyle w:val="TableText"/>
              <w:spacing w:after="120"/>
              <w:rPr>
                <w:lang w:eastAsia="en-GB"/>
              </w:rPr>
            </w:pPr>
          </w:p>
        </w:tc>
      </w:tr>
      <w:tr w:rsidR="00754137" w:rsidRPr="00CC1667" w14:paraId="6E227A45" w14:textId="77777777" w:rsidTr="0093742F">
        <w:tc>
          <w:tcPr>
            <w:tcW w:w="1242" w:type="dxa"/>
            <w:shd w:val="clear" w:color="auto" w:fill="auto"/>
          </w:tcPr>
          <w:p w14:paraId="30028EB4" w14:textId="77777777" w:rsidR="00754137" w:rsidRPr="00CC1667" w:rsidRDefault="00754137" w:rsidP="00F63986">
            <w:pPr>
              <w:pStyle w:val="TableText"/>
              <w:spacing w:after="120"/>
              <w:rPr>
                <w:lang w:eastAsia="en-GB"/>
              </w:rPr>
            </w:pPr>
          </w:p>
        </w:tc>
        <w:tc>
          <w:tcPr>
            <w:tcW w:w="1701" w:type="dxa"/>
            <w:shd w:val="clear" w:color="auto" w:fill="auto"/>
          </w:tcPr>
          <w:p w14:paraId="6D294E8E" w14:textId="77777777" w:rsidR="00754137" w:rsidRPr="00CC1667" w:rsidRDefault="00754137" w:rsidP="00F63986">
            <w:pPr>
              <w:pStyle w:val="TableText"/>
              <w:spacing w:after="120"/>
              <w:rPr>
                <w:lang w:eastAsia="en-GB"/>
              </w:rPr>
            </w:pPr>
          </w:p>
        </w:tc>
        <w:tc>
          <w:tcPr>
            <w:tcW w:w="6379" w:type="dxa"/>
            <w:shd w:val="clear" w:color="auto" w:fill="auto"/>
          </w:tcPr>
          <w:p w14:paraId="64B77C25" w14:textId="77777777" w:rsidR="00754137" w:rsidRPr="00CC1667" w:rsidRDefault="00754137" w:rsidP="00F63986">
            <w:pPr>
              <w:pStyle w:val="TableText"/>
              <w:spacing w:after="120"/>
              <w:rPr>
                <w:lang w:eastAsia="en-GB"/>
              </w:rPr>
            </w:pPr>
          </w:p>
        </w:tc>
      </w:tr>
      <w:tr w:rsidR="00754137" w:rsidRPr="00CC1667" w14:paraId="6AF88A8A" w14:textId="77777777" w:rsidTr="0093742F">
        <w:tc>
          <w:tcPr>
            <w:tcW w:w="1242" w:type="dxa"/>
            <w:shd w:val="clear" w:color="auto" w:fill="auto"/>
          </w:tcPr>
          <w:p w14:paraId="3BB9994F" w14:textId="77777777" w:rsidR="00754137" w:rsidRPr="00CC1667" w:rsidRDefault="00754137" w:rsidP="00F63986">
            <w:pPr>
              <w:pStyle w:val="TableText"/>
              <w:spacing w:after="120"/>
              <w:rPr>
                <w:lang w:eastAsia="en-GB"/>
              </w:rPr>
            </w:pPr>
          </w:p>
        </w:tc>
        <w:tc>
          <w:tcPr>
            <w:tcW w:w="1701" w:type="dxa"/>
            <w:shd w:val="clear" w:color="auto" w:fill="auto"/>
          </w:tcPr>
          <w:p w14:paraId="5A3B496F" w14:textId="77777777" w:rsidR="00754137" w:rsidRPr="00CC1667" w:rsidRDefault="00754137" w:rsidP="00F63986">
            <w:pPr>
              <w:pStyle w:val="TableText"/>
              <w:spacing w:after="120"/>
              <w:rPr>
                <w:lang w:eastAsia="en-GB"/>
              </w:rPr>
            </w:pPr>
          </w:p>
        </w:tc>
        <w:tc>
          <w:tcPr>
            <w:tcW w:w="6379" w:type="dxa"/>
            <w:shd w:val="clear" w:color="auto" w:fill="auto"/>
          </w:tcPr>
          <w:p w14:paraId="2F7D0A15" w14:textId="77777777" w:rsidR="00754137" w:rsidRPr="00CC1667" w:rsidRDefault="00754137" w:rsidP="00F63986">
            <w:pPr>
              <w:pStyle w:val="TableText"/>
              <w:spacing w:after="120"/>
              <w:rPr>
                <w:lang w:eastAsia="en-GB"/>
              </w:rPr>
            </w:pPr>
          </w:p>
        </w:tc>
      </w:tr>
    </w:tbl>
    <w:p w14:paraId="5BE7B1D7" w14:textId="77777777" w:rsidR="00754137" w:rsidRPr="00646816" w:rsidRDefault="00754137" w:rsidP="00F63986">
      <w:pPr>
        <w:spacing w:before="240"/>
        <w:rPr>
          <w:b/>
          <w:color w:val="002469"/>
          <w:sz w:val="28"/>
          <w:szCs w:val="32"/>
        </w:rPr>
      </w:pPr>
      <w:bookmarkStart w:id="23" w:name="_Toc309986019"/>
      <w:bookmarkStart w:id="24" w:name="_Toc315783474"/>
      <w:bookmarkStart w:id="25" w:name="_Toc317841514"/>
      <w:bookmarkStart w:id="26" w:name="_Toc364684058"/>
      <w:r w:rsidRPr="00646816">
        <w:rPr>
          <w:b/>
          <w:color w:val="002469"/>
          <w:sz w:val="28"/>
          <w:szCs w:val="32"/>
        </w:rPr>
        <w:t>Document Review</w:t>
      </w:r>
      <w:bookmarkEnd w:id="23"/>
      <w:bookmarkEnd w:id="24"/>
      <w:bookmarkEnd w:id="25"/>
      <w:bookmarkEnd w:id="26"/>
    </w:p>
    <w:tbl>
      <w:tblP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77"/>
        <w:gridCol w:w="3572"/>
        <w:gridCol w:w="2623"/>
      </w:tblGrid>
      <w:tr w:rsidR="00754137" w:rsidRPr="00B25075" w14:paraId="297197CE" w14:textId="77777777" w:rsidTr="00F23F0E">
        <w:tc>
          <w:tcPr>
            <w:tcW w:w="2943" w:type="dxa"/>
            <w:tcBorders>
              <w:top w:val="single" w:sz="4" w:space="0" w:color="D9D9D9"/>
              <w:left w:val="single" w:sz="4" w:space="0" w:color="D9D9D9"/>
              <w:bottom w:val="single" w:sz="4" w:space="0" w:color="D9D9D9"/>
              <w:right w:val="single" w:sz="4" w:space="0" w:color="FFFFFF"/>
            </w:tcBorders>
            <w:shd w:val="clear" w:color="auto" w:fill="DEEAF5"/>
          </w:tcPr>
          <w:p w14:paraId="629E598C" w14:textId="77777777" w:rsidR="00754137" w:rsidRPr="00B25075" w:rsidRDefault="00754137" w:rsidP="00F63986">
            <w:pPr>
              <w:pStyle w:val="TableHeading"/>
              <w:spacing w:after="120"/>
            </w:pPr>
            <w:r w:rsidRPr="00B25075">
              <w:t>Role</w:t>
            </w:r>
          </w:p>
        </w:tc>
        <w:tc>
          <w:tcPr>
            <w:tcW w:w="3686" w:type="dxa"/>
            <w:tcBorders>
              <w:top w:val="single" w:sz="4" w:space="0" w:color="D9D9D9"/>
              <w:left w:val="single" w:sz="4" w:space="0" w:color="FFFFFF"/>
              <w:bottom w:val="single" w:sz="4" w:space="0" w:color="D9D9D9"/>
              <w:right w:val="single" w:sz="4" w:space="0" w:color="FFFFFF"/>
            </w:tcBorders>
            <w:shd w:val="clear" w:color="auto" w:fill="DEEAF5"/>
          </w:tcPr>
          <w:p w14:paraId="6FDE44E5" w14:textId="77777777" w:rsidR="00754137" w:rsidRPr="00B25075" w:rsidRDefault="00754137" w:rsidP="00F63986">
            <w:pPr>
              <w:pStyle w:val="TableHeading"/>
              <w:spacing w:after="120"/>
            </w:pPr>
            <w:r w:rsidRPr="00B25075">
              <w:t>Name</w:t>
            </w:r>
          </w:p>
        </w:tc>
        <w:tc>
          <w:tcPr>
            <w:tcW w:w="2693" w:type="dxa"/>
            <w:tcBorders>
              <w:top w:val="single" w:sz="4" w:space="0" w:color="D9D9D9"/>
              <w:left w:val="single" w:sz="4" w:space="0" w:color="FFFFFF"/>
              <w:bottom w:val="single" w:sz="4" w:space="0" w:color="D9D9D9"/>
              <w:right w:val="single" w:sz="4" w:space="0" w:color="D9D9D9"/>
            </w:tcBorders>
            <w:shd w:val="clear" w:color="auto" w:fill="DEEAF5"/>
          </w:tcPr>
          <w:p w14:paraId="3D05FAC1" w14:textId="77777777" w:rsidR="00754137" w:rsidRPr="00B25075" w:rsidRDefault="00754137" w:rsidP="00F63986">
            <w:pPr>
              <w:pStyle w:val="TableHeading"/>
              <w:spacing w:after="120"/>
            </w:pPr>
            <w:r w:rsidRPr="00B25075">
              <w:t>Review Status</w:t>
            </w:r>
          </w:p>
        </w:tc>
      </w:tr>
      <w:tr w:rsidR="00754137" w:rsidRPr="00CC1667" w14:paraId="7572DA29" w14:textId="77777777" w:rsidTr="009753AF">
        <w:tc>
          <w:tcPr>
            <w:tcW w:w="2943" w:type="dxa"/>
            <w:tcBorders>
              <w:top w:val="single" w:sz="4" w:space="0" w:color="D9D9D9"/>
            </w:tcBorders>
            <w:shd w:val="clear" w:color="auto" w:fill="auto"/>
          </w:tcPr>
          <w:p w14:paraId="05D97D93" w14:textId="77777777" w:rsidR="00754137" w:rsidRPr="00F1160A" w:rsidRDefault="00AC13FF" w:rsidP="00F11977">
            <w:pPr>
              <w:pStyle w:val="TableText"/>
              <w:spacing w:after="120"/>
              <w:rPr>
                <w:i/>
                <w:lang w:eastAsia="en-GB"/>
              </w:rPr>
            </w:pPr>
            <w:r w:rsidRPr="00CD38D1">
              <w:rPr>
                <w:i/>
                <w:highlight w:val="yellow"/>
                <w:lang w:eastAsia="en-GB"/>
              </w:rPr>
              <w:t>Programme</w:t>
            </w:r>
            <w:r w:rsidR="00CD38D1" w:rsidRPr="00CD38D1">
              <w:rPr>
                <w:i/>
                <w:highlight w:val="yellow"/>
                <w:lang w:eastAsia="en-GB"/>
              </w:rPr>
              <w:t xml:space="preserve"> or Project</w:t>
            </w:r>
            <w:r>
              <w:rPr>
                <w:i/>
                <w:lang w:eastAsia="en-GB"/>
              </w:rPr>
              <w:t xml:space="preserve"> </w:t>
            </w:r>
            <w:r w:rsidR="00754137" w:rsidRPr="00F1160A">
              <w:rPr>
                <w:i/>
                <w:lang w:eastAsia="en-GB"/>
              </w:rPr>
              <w:t>Manager</w:t>
            </w:r>
          </w:p>
        </w:tc>
        <w:tc>
          <w:tcPr>
            <w:tcW w:w="3686" w:type="dxa"/>
            <w:tcBorders>
              <w:top w:val="single" w:sz="4" w:space="0" w:color="D9D9D9"/>
            </w:tcBorders>
            <w:shd w:val="clear" w:color="auto" w:fill="auto"/>
          </w:tcPr>
          <w:p w14:paraId="03B32BAD" w14:textId="77777777" w:rsidR="00754137" w:rsidRPr="00CC1667" w:rsidRDefault="00754137" w:rsidP="00F63986">
            <w:pPr>
              <w:pStyle w:val="TableText"/>
              <w:spacing w:after="120"/>
              <w:rPr>
                <w:lang w:eastAsia="en-GB"/>
              </w:rPr>
            </w:pPr>
          </w:p>
        </w:tc>
        <w:tc>
          <w:tcPr>
            <w:tcW w:w="2693" w:type="dxa"/>
            <w:tcBorders>
              <w:top w:val="single" w:sz="4" w:space="0" w:color="D9D9D9"/>
            </w:tcBorders>
            <w:shd w:val="clear" w:color="auto" w:fill="auto"/>
          </w:tcPr>
          <w:p w14:paraId="0B9F32F7" w14:textId="77777777" w:rsidR="00754137" w:rsidRPr="00CC1667" w:rsidRDefault="00754137" w:rsidP="00F63986">
            <w:pPr>
              <w:pStyle w:val="TableText"/>
              <w:spacing w:after="120"/>
              <w:rPr>
                <w:lang w:eastAsia="en-GB"/>
              </w:rPr>
            </w:pPr>
          </w:p>
        </w:tc>
      </w:tr>
      <w:tr w:rsidR="00754137" w:rsidRPr="00CC1667" w14:paraId="05CB696F" w14:textId="77777777" w:rsidTr="0093742F">
        <w:tc>
          <w:tcPr>
            <w:tcW w:w="2943" w:type="dxa"/>
            <w:shd w:val="clear" w:color="auto" w:fill="auto"/>
          </w:tcPr>
          <w:p w14:paraId="52284C15" w14:textId="77777777" w:rsidR="00754137" w:rsidRPr="00F1160A" w:rsidRDefault="00754137" w:rsidP="00F63986">
            <w:pPr>
              <w:pStyle w:val="TableText"/>
              <w:spacing w:after="120"/>
              <w:rPr>
                <w:i/>
                <w:lang w:eastAsia="en-GB"/>
              </w:rPr>
            </w:pPr>
          </w:p>
        </w:tc>
        <w:tc>
          <w:tcPr>
            <w:tcW w:w="3686" w:type="dxa"/>
            <w:shd w:val="clear" w:color="auto" w:fill="auto"/>
          </w:tcPr>
          <w:p w14:paraId="6EFB9EC3" w14:textId="77777777" w:rsidR="00754137" w:rsidRPr="00CC1667" w:rsidRDefault="00754137" w:rsidP="00F63986">
            <w:pPr>
              <w:pStyle w:val="TableText"/>
              <w:spacing w:after="120"/>
              <w:rPr>
                <w:lang w:eastAsia="en-GB"/>
              </w:rPr>
            </w:pPr>
          </w:p>
        </w:tc>
        <w:tc>
          <w:tcPr>
            <w:tcW w:w="2693" w:type="dxa"/>
            <w:shd w:val="clear" w:color="auto" w:fill="auto"/>
          </w:tcPr>
          <w:p w14:paraId="46069693" w14:textId="77777777" w:rsidR="00754137" w:rsidRPr="00CC1667" w:rsidRDefault="00754137" w:rsidP="00F63986">
            <w:pPr>
              <w:pStyle w:val="TableText"/>
              <w:spacing w:after="120"/>
              <w:rPr>
                <w:lang w:eastAsia="en-GB"/>
              </w:rPr>
            </w:pPr>
          </w:p>
        </w:tc>
      </w:tr>
    </w:tbl>
    <w:p w14:paraId="67988D9B" w14:textId="77777777" w:rsidR="00754137" w:rsidRPr="00646816" w:rsidRDefault="00754137" w:rsidP="00F63986">
      <w:pPr>
        <w:spacing w:before="240"/>
        <w:rPr>
          <w:b/>
          <w:color w:val="002469"/>
          <w:sz w:val="28"/>
          <w:szCs w:val="32"/>
        </w:rPr>
      </w:pPr>
      <w:bookmarkStart w:id="27" w:name="_Toc309986020"/>
      <w:bookmarkStart w:id="28" w:name="_Toc315783475"/>
      <w:bookmarkStart w:id="29" w:name="_Toc317841515"/>
      <w:bookmarkStart w:id="30" w:name="_Toc364684059"/>
      <w:r w:rsidRPr="00646816">
        <w:rPr>
          <w:b/>
          <w:color w:val="002469"/>
          <w:sz w:val="28"/>
          <w:szCs w:val="32"/>
        </w:rPr>
        <w:t>Document Sign-off</w:t>
      </w:r>
      <w:bookmarkEnd w:id="27"/>
      <w:bookmarkEnd w:id="28"/>
      <w:bookmarkEnd w:id="29"/>
      <w:bookmarkEnd w:id="30"/>
    </w:p>
    <w:tbl>
      <w:tblP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86"/>
        <w:gridCol w:w="3571"/>
        <w:gridCol w:w="2615"/>
      </w:tblGrid>
      <w:tr w:rsidR="00754137" w:rsidRPr="004C1278" w14:paraId="050C34C2" w14:textId="77777777" w:rsidTr="00F23F0E">
        <w:tc>
          <w:tcPr>
            <w:tcW w:w="2943" w:type="dxa"/>
            <w:tcBorders>
              <w:top w:val="single" w:sz="4" w:space="0" w:color="D9D9D9"/>
              <w:left w:val="single" w:sz="4" w:space="0" w:color="D9D9D9"/>
              <w:bottom w:val="single" w:sz="4" w:space="0" w:color="D9D9D9"/>
              <w:right w:val="single" w:sz="4" w:space="0" w:color="FFFFFF"/>
            </w:tcBorders>
            <w:shd w:val="clear" w:color="auto" w:fill="DEEAF5"/>
          </w:tcPr>
          <w:p w14:paraId="627D5BAF" w14:textId="77777777" w:rsidR="00754137" w:rsidRDefault="00754137" w:rsidP="00F63986">
            <w:pPr>
              <w:pStyle w:val="TableHeading"/>
              <w:spacing w:after="120"/>
            </w:pPr>
            <w:r w:rsidRPr="004C1278">
              <w:t>Role</w:t>
            </w:r>
          </w:p>
        </w:tc>
        <w:tc>
          <w:tcPr>
            <w:tcW w:w="3686" w:type="dxa"/>
            <w:tcBorders>
              <w:top w:val="single" w:sz="4" w:space="0" w:color="D9D9D9"/>
              <w:left w:val="single" w:sz="4" w:space="0" w:color="FFFFFF"/>
              <w:bottom w:val="single" w:sz="4" w:space="0" w:color="D9D9D9"/>
              <w:right w:val="single" w:sz="4" w:space="0" w:color="FFFFFF"/>
            </w:tcBorders>
            <w:shd w:val="clear" w:color="auto" w:fill="DEEAF5"/>
          </w:tcPr>
          <w:p w14:paraId="7E332362" w14:textId="77777777" w:rsidR="00754137" w:rsidRDefault="00754137" w:rsidP="00F63986">
            <w:pPr>
              <w:pStyle w:val="TableHeading"/>
              <w:spacing w:after="120"/>
            </w:pPr>
            <w:r w:rsidRPr="004C1278">
              <w:t>Name</w:t>
            </w:r>
          </w:p>
        </w:tc>
        <w:tc>
          <w:tcPr>
            <w:tcW w:w="2693" w:type="dxa"/>
            <w:tcBorders>
              <w:top w:val="single" w:sz="4" w:space="0" w:color="D9D9D9"/>
              <w:left w:val="single" w:sz="4" w:space="0" w:color="FFFFFF"/>
              <w:bottom w:val="single" w:sz="4" w:space="0" w:color="D9D9D9"/>
              <w:right w:val="single" w:sz="4" w:space="0" w:color="D9D9D9"/>
            </w:tcBorders>
            <w:shd w:val="clear" w:color="auto" w:fill="DEEAF5"/>
          </w:tcPr>
          <w:p w14:paraId="0AE16C81" w14:textId="77777777" w:rsidR="00754137" w:rsidRDefault="00754137" w:rsidP="00F63986">
            <w:pPr>
              <w:pStyle w:val="TableHeading"/>
              <w:spacing w:after="120"/>
            </w:pPr>
            <w:r w:rsidRPr="004C1278">
              <w:t>Sign-off Date</w:t>
            </w:r>
          </w:p>
        </w:tc>
      </w:tr>
      <w:tr w:rsidR="00754137" w:rsidRPr="00CC1667" w14:paraId="2A881DFA" w14:textId="77777777" w:rsidTr="00CA530A">
        <w:tc>
          <w:tcPr>
            <w:tcW w:w="2943" w:type="dxa"/>
            <w:tcBorders>
              <w:top w:val="single" w:sz="4" w:space="0" w:color="D9D9D9"/>
              <w:bottom w:val="single" w:sz="4" w:space="0" w:color="D9D9D9"/>
            </w:tcBorders>
            <w:shd w:val="clear" w:color="auto" w:fill="auto"/>
          </w:tcPr>
          <w:p w14:paraId="4050AA2D" w14:textId="77777777" w:rsidR="00754137" w:rsidRPr="00F1160A" w:rsidRDefault="00754137" w:rsidP="00F63986">
            <w:pPr>
              <w:pStyle w:val="TableText"/>
              <w:spacing w:after="120"/>
              <w:rPr>
                <w:i/>
                <w:lang w:eastAsia="en-GB"/>
              </w:rPr>
            </w:pPr>
            <w:r w:rsidRPr="00F1160A">
              <w:rPr>
                <w:i/>
                <w:lang w:eastAsia="en-GB"/>
              </w:rPr>
              <w:t>Senior Responsible Owner/Project Executive</w:t>
            </w:r>
          </w:p>
        </w:tc>
        <w:tc>
          <w:tcPr>
            <w:tcW w:w="3686" w:type="dxa"/>
            <w:tcBorders>
              <w:top w:val="single" w:sz="4" w:space="0" w:color="D9D9D9"/>
              <w:bottom w:val="single" w:sz="4" w:space="0" w:color="D9D9D9"/>
            </w:tcBorders>
            <w:shd w:val="clear" w:color="auto" w:fill="auto"/>
          </w:tcPr>
          <w:p w14:paraId="719D66EC" w14:textId="77777777" w:rsidR="00754137" w:rsidRPr="00CC1667" w:rsidRDefault="00754137" w:rsidP="00F63986">
            <w:pPr>
              <w:pStyle w:val="TableText"/>
              <w:spacing w:after="120"/>
              <w:rPr>
                <w:lang w:eastAsia="en-GB"/>
              </w:rPr>
            </w:pPr>
          </w:p>
        </w:tc>
        <w:tc>
          <w:tcPr>
            <w:tcW w:w="2693" w:type="dxa"/>
            <w:tcBorders>
              <w:top w:val="single" w:sz="4" w:space="0" w:color="D9D9D9"/>
              <w:bottom w:val="single" w:sz="4" w:space="0" w:color="D9D9D9"/>
            </w:tcBorders>
            <w:shd w:val="clear" w:color="auto" w:fill="auto"/>
          </w:tcPr>
          <w:p w14:paraId="3E825F20" w14:textId="77777777" w:rsidR="00754137" w:rsidRPr="00CC1667" w:rsidRDefault="00754137" w:rsidP="00F63986">
            <w:pPr>
              <w:pStyle w:val="TableText"/>
              <w:spacing w:after="120"/>
              <w:rPr>
                <w:lang w:eastAsia="en-GB"/>
              </w:rPr>
            </w:pPr>
          </w:p>
        </w:tc>
      </w:tr>
      <w:tr w:rsidR="00CA530A" w:rsidRPr="00CC1667" w14:paraId="742F7130" w14:textId="77777777" w:rsidTr="009753AF">
        <w:tc>
          <w:tcPr>
            <w:tcW w:w="2943" w:type="dxa"/>
            <w:tcBorders>
              <w:top w:val="single" w:sz="4" w:space="0" w:color="D9D9D9"/>
            </w:tcBorders>
            <w:shd w:val="clear" w:color="auto" w:fill="auto"/>
          </w:tcPr>
          <w:p w14:paraId="42F2C102" w14:textId="77777777" w:rsidR="00CA530A" w:rsidRPr="00F1160A" w:rsidRDefault="00CA530A" w:rsidP="00F63986">
            <w:pPr>
              <w:pStyle w:val="TableText"/>
              <w:spacing w:after="120"/>
              <w:rPr>
                <w:i/>
                <w:lang w:eastAsia="en-GB"/>
              </w:rPr>
            </w:pPr>
          </w:p>
        </w:tc>
        <w:tc>
          <w:tcPr>
            <w:tcW w:w="3686" w:type="dxa"/>
            <w:tcBorders>
              <w:top w:val="single" w:sz="4" w:space="0" w:color="D9D9D9"/>
            </w:tcBorders>
            <w:shd w:val="clear" w:color="auto" w:fill="auto"/>
          </w:tcPr>
          <w:p w14:paraId="75E3449D" w14:textId="77777777" w:rsidR="00CA530A" w:rsidRPr="00CC1667" w:rsidRDefault="00CA530A" w:rsidP="00F63986">
            <w:pPr>
              <w:pStyle w:val="TableText"/>
              <w:spacing w:after="120"/>
              <w:rPr>
                <w:lang w:eastAsia="en-GB"/>
              </w:rPr>
            </w:pPr>
          </w:p>
        </w:tc>
        <w:tc>
          <w:tcPr>
            <w:tcW w:w="2693" w:type="dxa"/>
            <w:tcBorders>
              <w:top w:val="single" w:sz="4" w:space="0" w:color="D9D9D9"/>
            </w:tcBorders>
            <w:shd w:val="clear" w:color="auto" w:fill="auto"/>
          </w:tcPr>
          <w:p w14:paraId="2ACC218A" w14:textId="77777777" w:rsidR="00CA530A" w:rsidRPr="00CC1667" w:rsidRDefault="00CA530A" w:rsidP="00F63986">
            <w:pPr>
              <w:pStyle w:val="TableText"/>
              <w:spacing w:after="120"/>
              <w:rPr>
                <w:lang w:eastAsia="en-GB"/>
              </w:rPr>
            </w:pPr>
          </w:p>
        </w:tc>
      </w:tr>
    </w:tbl>
    <w:p w14:paraId="5B163845" w14:textId="77777777" w:rsidR="008B324D" w:rsidRDefault="008B324D" w:rsidP="00F63986"/>
    <w:p w14:paraId="7E799664" w14:textId="77777777" w:rsidR="008B324D" w:rsidRPr="00D17BFC" w:rsidRDefault="008B324D" w:rsidP="006E4FDB">
      <w:pPr>
        <w:pStyle w:val="Heading1"/>
        <w:sectPr w:rsidR="008B324D" w:rsidRPr="00D17BFC" w:rsidSect="008B324D">
          <w:pgSz w:w="11907" w:h="16840" w:code="9"/>
          <w:pgMar w:top="1134" w:right="1418" w:bottom="992" w:left="1418" w:header="454" w:footer="454" w:gutter="0"/>
          <w:pgNumType w:start="1"/>
          <w:cols w:space="720"/>
          <w:titlePg/>
          <w:docGrid w:linePitch="360"/>
        </w:sectPr>
      </w:pPr>
    </w:p>
    <w:p w14:paraId="198B66AD" w14:textId="77777777" w:rsidR="009911C3" w:rsidRDefault="00120DDE" w:rsidP="006E4FDB">
      <w:pPr>
        <w:pStyle w:val="Heading1"/>
      </w:pPr>
      <w:bookmarkStart w:id="31" w:name="_Toc308979499"/>
      <w:bookmarkStart w:id="32" w:name="_Toc317841516"/>
      <w:bookmarkStart w:id="33" w:name="_Toc364684060"/>
      <w:bookmarkStart w:id="34" w:name="_Toc364684174"/>
      <w:bookmarkStart w:id="35" w:name="_Toc380318528"/>
      <w:bookmarkStart w:id="36" w:name="_Toc525650093"/>
      <w:bookmarkStart w:id="37" w:name="_Toc258309894"/>
      <w:bookmarkStart w:id="38" w:name="_Toc265757324"/>
      <w:bookmarkStart w:id="39" w:name="_Toc265758122"/>
      <w:bookmarkStart w:id="40" w:name="_Toc275458606"/>
      <w:bookmarkStart w:id="41" w:name="_Toc279609944"/>
      <w:bookmarkStart w:id="42" w:name="_Toc265758125"/>
      <w:bookmarkStart w:id="43" w:name="_Toc275458608"/>
      <w:bookmarkStart w:id="44" w:name="_Toc279609952"/>
      <w:bookmarkEnd w:id="0"/>
      <w:bookmarkEnd w:id="1"/>
      <w:bookmarkEnd w:id="2"/>
      <w:bookmarkEnd w:id="5"/>
      <w:bookmarkEnd w:id="6"/>
      <w:bookmarkEnd w:id="7"/>
      <w:bookmarkEnd w:id="8"/>
      <w:r w:rsidRPr="0068581D">
        <w:lastRenderedPageBreak/>
        <w:t>Contents</w:t>
      </w:r>
      <w:bookmarkEnd w:id="31"/>
      <w:bookmarkEnd w:id="32"/>
      <w:bookmarkEnd w:id="33"/>
      <w:bookmarkEnd w:id="34"/>
      <w:bookmarkEnd w:id="35"/>
      <w:bookmarkEnd w:id="36"/>
    </w:p>
    <w:p w14:paraId="13EEC781" w14:textId="7BE425A5" w:rsidR="007D0D9F" w:rsidRPr="004D1C45" w:rsidRDefault="007D0D9F" w:rsidP="0023697A">
      <w:pPr>
        <w:spacing w:after="40" w:line="260" w:lineRule="atLeast"/>
        <w:rPr>
          <w:color w:val="0000FF"/>
          <w:lang w:val="en-US" w:eastAsia="en-US"/>
        </w:rPr>
      </w:pPr>
      <w:r w:rsidRPr="004D1C45">
        <w:rPr>
          <w:rStyle w:val="Emphasis"/>
          <w:color w:val="0000FF"/>
          <w:highlight w:val="yellow"/>
        </w:rPr>
        <w:t xml:space="preserve">On completion of </w:t>
      </w:r>
      <w:r w:rsidR="00FF54D0" w:rsidRPr="004D1C45">
        <w:rPr>
          <w:rStyle w:val="Emphasis"/>
          <w:color w:val="0000FF"/>
          <w:highlight w:val="yellow"/>
        </w:rPr>
        <w:t xml:space="preserve">this </w:t>
      </w:r>
      <w:r w:rsidR="00EB4D53" w:rsidRPr="004D1C45">
        <w:rPr>
          <w:rStyle w:val="Emphasis"/>
          <w:color w:val="0000FF"/>
          <w:highlight w:val="yellow"/>
        </w:rPr>
        <w:t>template</w:t>
      </w:r>
      <w:r w:rsidRPr="004D1C45">
        <w:rPr>
          <w:rStyle w:val="Emphasis"/>
          <w:color w:val="0000FF"/>
          <w:highlight w:val="yellow"/>
        </w:rPr>
        <w:t xml:space="preserve">, </w:t>
      </w:r>
      <w:r w:rsidR="001D698D" w:rsidRPr="004D1C45">
        <w:rPr>
          <w:rStyle w:val="Emphasis"/>
          <w:color w:val="0000FF"/>
          <w:highlight w:val="yellow"/>
        </w:rPr>
        <w:t xml:space="preserve">delete the </w:t>
      </w:r>
      <w:r w:rsidR="00F23F0E" w:rsidRPr="004D1C45">
        <w:rPr>
          <w:rStyle w:val="Emphasis"/>
          <w:color w:val="0000FF"/>
          <w:highlight w:val="yellow"/>
        </w:rPr>
        <w:t>Guidanc</w:t>
      </w:r>
      <w:r w:rsidR="00AC13FF" w:rsidRPr="004D1C45">
        <w:rPr>
          <w:rStyle w:val="Emphasis"/>
          <w:color w:val="0000FF"/>
          <w:highlight w:val="yellow"/>
        </w:rPr>
        <w:t>e section</w:t>
      </w:r>
      <w:r w:rsidR="001D698D" w:rsidRPr="004D1C45">
        <w:rPr>
          <w:rStyle w:val="Emphasis"/>
          <w:color w:val="0000FF"/>
          <w:highlight w:val="yellow"/>
        </w:rPr>
        <w:t xml:space="preserve">s then update this </w:t>
      </w:r>
      <w:proofErr w:type="spellStart"/>
      <w:r w:rsidR="001D698D" w:rsidRPr="004D1C45">
        <w:rPr>
          <w:rStyle w:val="Emphasis"/>
          <w:color w:val="0000FF"/>
          <w:highlight w:val="yellow"/>
        </w:rPr>
        <w:t>To</w:t>
      </w:r>
      <w:r w:rsidR="001C101B" w:rsidRPr="001C101B">
        <w:rPr>
          <w:rStyle w:val="Emphasis"/>
          <w:color w:val="0000FF"/>
          <w:highlight w:val="yellow"/>
        </w:rPr>
        <w:t>C</w:t>
      </w:r>
      <w:proofErr w:type="spellEnd"/>
      <w:r w:rsidR="001C101B">
        <w:rPr>
          <w:rStyle w:val="Emphasis"/>
          <w:color w:val="0000FF"/>
        </w:rPr>
        <w:t xml:space="preserve"> </w:t>
      </w:r>
    </w:p>
    <w:p w14:paraId="3AD741BC" w14:textId="5E5DC365" w:rsidR="006F0D20" w:rsidRDefault="00A03B17">
      <w:pPr>
        <w:pStyle w:val="TOC1"/>
        <w:rPr>
          <w:rFonts w:asciiTheme="minorHAnsi" w:eastAsiaTheme="minorEastAsia" w:hAnsiTheme="minorHAnsi" w:cstheme="minorBidi"/>
          <w:bCs w:val="0"/>
          <w:sz w:val="22"/>
          <w:szCs w:val="22"/>
          <w:lang w:val="en-NZ" w:eastAsia="en-NZ"/>
        </w:rPr>
      </w:pPr>
      <w:r>
        <w:rPr>
          <w:bCs w:val="0"/>
        </w:rPr>
        <w:fldChar w:fldCharType="begin"/>
      </w:r>
      <w:r>
        <w:rPr>
          <w:bCs w:val="0"/>
        </w:rPr>
        <w:instrText xml:space="preserve"> TOC \o "1-1" \u </w:instrText>
      </w:r>
      <w:r>
        <w:rPr>
          <w:bCs w:val="0"/>
        </w:rPr>
        <w:fldChar w:fldCharType="separate"/>
      </w:r>
      <w:r w:rsidR="006F0D20">
        <w:t>Before you start:  Implementation Business Case (ImBC)</w:t>
      </w:r>
      <w:r w:rsidR="006F0D20">
        <w:tab/>
      </w:r>
      <w:r w:rsidR="006F0D20">
        <w:fldChar w:fldCharType="begin"/>
      </w:r>
      <w:r w:rsidR="006F0D20">
        <w:instrText xml:space="preserve"> PAGEREF _Toc50548993 \h </w:instrText>
      </w:r>
      <w:r w:rsidR="006F0D20">
        <w:fldChar w:fldCharType="separate"/>
      </w:r>
      <w:r w:rsidR="003F542F">
        <w:t>2</w:t>
      </w:r>
      <w:r w:rsidR="006F0D20">
        <w:fldChar w:fldCharType="end"/>
      </w:r>
    </w:p>
    <w:p w14:paraId="6F018EAE" w14:textId="6BC13DA0" w:rsidR="006F0D20" w:rsidRDefault="006F0D20">
      <w:pPr>
        <w:pStyle w:val="TOC1"/>
        <w:rPr>
          <w:rFonts w:asciiTheme="minorHAnsi" w:eastAsiaTheme="minorEastAsia" w:hAnsiTheme="minorHAnsi" w:cstheme="minorBidi"/>
          <w:bCs w:val="0"/>
          <w:sz w:val="22"/>
          <w:szCs w:val="22"/>
          <w:lang w:val="en-NZ" w:eastAsia="en-NZ"/>
        </w:rPr>
      </w:pPr>
      <w:r>
        <w:t>Executive Summary</w:t>
      </w:r>
      <w:r>
        <w:tab/>
      </w:r>
      <w:r>
        <w:fldChar w:fldCharType="begin"/>
      </w:r>
      <w:r>
        <w:instrText xml:space="preserve"> PAGEREF _Toc50548994 \h </w:instrText>
      </w:r>
      <w:r>
        <w:fldChar w:fldCharType="separate"/>
      </w:r>
      <w:r w:rsidR="003F542F">
        <w:t>4</w:t>
      </w:r>
      <w:r>
        <w:fldChar w:fldCharType="end"/>
      </w:r>
    </w:p>
    <w:p w14:paraId="29CB8AB2" w14:textId="38B189F1" w:rsidR="006F0D20" w:rsidRDefault="006F0D20">
      <w:pPr>
        <w:pStyle w:val="TOC1"/>
        <w:rPr>
          <w:rFonts w:asciiTheme="minorHAnsi" w:eastAsiaTheme="minorEastAsia" w:hAnsiTheme="minorHAnsi" w:cstheme="minorBidi"/>
          <w:bCs w:val="0"/>
          <w:sz w:val="22"/>
          <w:szCs w:val="22"/>
          <w:lang w:val="en-NZ" w:eastAsia="en-NZ"/>
        </w:rPr>
      </w:pPr>
      <w:r>
        <w:t>Background [optional]</w:t>
      </w:r>
      <w:r>
        <w:tab/>
      </w:r>
      <w:r>
        <w:fldChar w:fldCharType="begin"/>
      </w:r>
      <w:r>
        <w:instrText xml:space="preserve"> PAGEREF _Toc50548995 \h </w:instrText>
      </w:r>
      <w:r>
        <w:fldChar w:fldCharType="separate"/>
      </w:r>
      <w:r w:rsidR="003F542F">
        <w:t>10</w:t>
      </w:r>
      <w:r>
        <w:fldChar w:fldCharType="end"/>
      </w:r>
    </w:p>
    <w:p w14:paraId="00948E48" w14:textId="0AEB7318" w:rsidR="006F0D20" w:rsidRDefault="006F0D20">
      <w:pPr>
        <w:pStyle w:val="TOC1"/>
        <w:rPr>
          <w:rFonts w:asciiTheme="minorHAnsi" w:eastAsiaTheme="minorEastAsia" w:hAnsiTheme="minorHAnsi" w:cstheme="minorBidi"/>
          <w:bCs w:val="0"/>
          <w:sz w:val="22"/>
          <w:szCs w:val="22"/>
          <w:lang w:val="en-NZ" w:eastAsia="en-NZ"/>
        </w:rPr>
      </w:pPr>
      <w:r>
        <w:t>Strategic Case – reviewing the case for change</w:t>
      </w:r>
      <w:r>
        <w:tab/>
      </w:r>
      <w:r>
        <w:fldChar w:fldCharType="begin"/>
      </w:r>
      <w:r>
        <w:instrText xml:space="preserve"> PAGEREF _Toc50548996 \h </w:instrText>
      </w:r>
      <w:r>
        <w:fldChar w:fldCharType="separate"/>
      </w:r>
      <w:r w:rsidR="003F542F">
        <w:t>11</w:t>
      </w:r>
      <w:r>
        <w:fldChar w:fldCharType="end"/>
      </w:r>
    </w:p>
    <w:p w14:paraId="5E231BCC" w14:textId="0E0F4238" w:rsidR="006F0D20" w:rsidRDefault="006F0D20">
      <w:pPr>
        <w:pStyle w:val="TOC1"/>
        <w:rPr>
          <w:rFonts w:asciiTheme="minorHAnsi" w:eastAsiaTheme="minorEastAsia" w:hAnsiTheme="minorHAnsi" w:cstheme="minorBidi"/>
          <w:bCs w:val="0"/>
          <w:sz w:val="22"/>
          <w:szCs w:val="22"/>
          <w:lang w:val="en-NZ" w:eastAsia="en-NZ"/>
        </w:rPr>
      </w:pPr>
      <w:r>
        <w:t>Economic Case – reviewing the Preferred Option</w:t>
      </w:r>
      <w:r>
        <w:tab/>
      </w:r>
      <w:r>
        <w:fldChar w:fldCharType="begin"/>
      </w:r>
      <w:r>
        <w:instrText xml:space="preserve"> PAGEREF _Toc50548997 \h </w:instrText>
      </w:r>
      <w:r>
        <w:fldChar w:fldCharType="separate"/>
      </w:r>
      <w:r w:rsidR="003F542F">
        <w:t>12</w:t>
      </w:r>
      <w:r>
        <w:fldChar w:fldCharType="end"/>
      </w:r>
    </w:p>
    <w:p w14:paraId="03EE516F" w14:textId="217E19BC" w:rsidR="006F0D20" w:rsidRDefault="006F0D20">
      <w:pPr>
        <w:pStyle w:val="TOC1"/>
        <w:rPr>
          <w:rFonts w:asciiTheme="minorHAnsi" w:eastAsiaTheme="minorEastAsia" w:hAnsiTheme="minorHAnsi" w:cstheme="minorBidi"/>
          <w:bCs w:val="0"/>
          <w:sz w:val="22"/>
          <w:szCs w:val="22"/>
          <w:lang w:val="en-NZ" w:eastAsia="en-NZ"/>
        </w:rPr>
      </w:pPr>
      <w:r>
        <w:t>Commercial Case – contracting for the project</w:t>
      </w:r>
      <w:r>
        <w:tab/>
      </w:r>
      <w:r>
        <w:fldChar w:fldCharType="begin"/>
      </w:r>
      <w:r>
        <w:instrText xml:space="preserve"> PAGEREF _Toc50548998 \h </w:instrText>
      </w:r>
      <w:r>
        <w:fldChar w:fldCharType="separate"/>
      </w:r>
      <w:r w:rsidR="003F542F">
        <w:t>15</w:t>
      </w:r>
      <w:r>
        <w:fldChar w:fldCharType="end"/>
      </w:r>
    </w:p>
    <w:p w14:paraId="68B6B29D" w14:textId="19AA7288" w:rsidR="006F0D20" w:rsidRDefault="006F0D20">
      <w:pPr>
        <w:pStyle w:val="TOC1"/>
        <w:rPr>
          <w:rFonts w:asciiTheme="minorHAnsi" w:eastAsiaTheme="minorEastAsia" w:hAnsiTheme="minorHAnsi" w:cstheme="minorBidi"/>
          <w:bCs w:val="0"/>
          <w:sz w:val="22"/>
          <w:szCs w:val="22"/>
          <w:lang w:val="en-NZ" w:eastAsia="en-NZ"/>
        </w:rPr>
      </w:pPr>
      <w:r>
        <w:t>Financial Case – funding the project</w:t>
      </w:r>
      <w:r>
        <w:tab/>
      </w:r>
      <w:r>
        <w:fldChar w:fldCharType="begin"/>
      </w:r>
      <w:r>
        <w:instrText xml:space="preserve"> PAGEREF _Toc50548999 \h </w:instrText>
      </w:r>
      <w:r>
        <w:fldChar w:fldCharType="separate"/>
      </w:r>
      <w:r w:rsidR="003F542F">
        <w:t>19</w:t>
      </w:r>
      <w:r>
        <w:fldChar w:fldCharType="end"/>
      </w:r>
    </w:p>
    <w:p w14:paraId="43EF2014" w14:textId="69877D03" w:rsidR="006F0D20" w:rsidRDefault="006F0D20">
      <w:pPr>
        <w:pStyle w:val="TOC1"/>
        <w:rPr>
          <w:rFonts w:asciiTheme="minorHAnsi" w:eastAsiaTheme="minorEastAsia" w:hAnsiTheme="minorHAnsi" w:cstheme="minorBidi"/>
          <w:bCs w:val="0"/>
          <w:sz w:val="22"/>
          <w:szCs w:val="22"/>
          <w:lang w:val="en-NZ" w:eastAsia="en-NZ"/>
        </w:rPr>
      </w:pPr>
      <w:r>
        <w:t>Management Case – planning for successful delivery</w:t>
      </w:r>
      <w:r>
        <w:tab/>
      </w:r>
      <w:r>
        <w:fldChar w:fldCharType="begin"/>
      </w:r>
      <w:r>
        <w:instrText xml:space="preserve"> PAGEREF _Toc50549000 \h </w:instrText>
      </w:r>
      <w:r>
        <w:fldChar w:fldCharType="separate"/>
      </w:r>
      <w:r w:rsidR="003F542F">
        <w:t>22</w:t>
      </w:r>
      <w:r>
        <w:fldChar w:fldCharType="end"/>
      </w:r>
    </w:p>
    <w:p w14:paraId="47AE8073" w14:textId="13BCBAAA" w:rsidR="006F0D20" w:rsidRDefault="006F0D20">
      <w:pPr>
        <w:pStyle w:val="TOC1"/>
        <w:rPr>
          <w:rFonts w:asciiTheme="minorHAnsi" w:eastAsiaTheme="minorEastAsia" w:hAnsiTheme="minorHAnsi" w:cstheme="minorBidi"/>
          <w:bCs w:val="0"/>
          <w:sz w:val="22"/>
          <w:szCs w:val="22"/>
          <w:lang w:val="en-NZ" w:eastAsia="en-NZ"/>
        </w:rPr>
      </w:pPr>
      <w:r>
        <w:t>Annexes</w:t>
      </w:r>
      <w:r>
        <w:tab/>
      </w:r>
      <w:r>
        <w:fldChar w:fldCharType="begin"/>
      </w:r>
      <w:r>
        <w:instrText xml:space="preserve"> PAGEREF _Toc50549001 \h </w:instrText>
      </w:r>
      <w:r>
        <w:fldChar w:fldCharType="separate"/>
      </w:r>
      <w:r w:rsidR="003F542F">
        <w:t>28</w:t>
      </w:r>
      <w:r>
        <w:fldChar w:fldCharType="end"/>
      </w:r>
    </w:p>
    <w:p w14:paraId="0C8285CF" w14:textId="3BD4C179" w:rsidR="006F0D20" w:rsidRDefault="006F0D20">
      <w:pPr>
        <w:pStyle w:val="TOC1"/>
        <w:rPr>
          <w:rFonts w:asciiTheme="minorHAnsi" w:eastAsiaTheme="minorEastAsia" w:hAnsiTheme="minorHAnsi" w:cstheme="minorBidi"/>
          <w:bCs w:val="0"/>
          <w:sz w:val="22"/>
          <w:szCs w:val="22"/>
          <w:lang w:val="en-NZ" w:eastAsia="en-NZ"/>
        </w:rPr>
      </w:pPr>
      <w:r>
        <w:t>Annex</w:t>
      </w:r>
      <w:r w:rsidRPr="00BF5DC0">
        <w:rPr>
          <w:iCs/>
        </w:rPr>
        <w:t xml:space="preserve"> </w:t>
      </w:r>
      <w:r>
        <w:t>1</w:t>
      </w:r>
      <w:r w:rsidRPr="00BF5DC0">
        <w:rPr>
          <w:iCs/>
        </w:rPr>
        <w:t xml:space="preserve">: </w:t>
      </w:r>
      <w:r>
        <w:t>Commissioner</w:t>
      </w:r>
      <w:r w:rsidRPr="00BF5DC0">
        <w:rPr>
          <w:shd w:val="clear" w:color="auto" w:fill="FFFF00"/>
        </w:rPr>
        <w:t>(’s/s’)</w:t>
      </w:r>
      <w:r w:rsidRPr="00BF5DC0">
        <w:rPr>
          <w:iCs/>
        </w:rPr>
        <w:t xml:space="preserve"> Letter</w:t>
      </w:r>
      <w:r>
        <w:tab/>
      </w:r>
      <w:r>
        <w:fldChar w:fldCharType="begin"/>
      </w:r>
      <w:r>
        <w:instrText xml:space="preserve"> PAGEREF _Toc50549002 \h </w:instrText>
      </w:r>
      <w:r>
        <w:fldChar w:fldCharType="separate"/>
      </w:r>
      <w:r w:rsidR="003F542F">
        <w:t>29</w:t>
      </w:r>
      <w:r>
        <w:fldChar w:fldCharType="end"/>
      </w:r>
    </w:p>
    <w:p w14:paraId="06541B5D" w14:textId="170C8041" w:rsidR="006F0D20" w:rsidRDefault="006F0D20">
      <w:pPr>
        <w:pStyle w:val="TOC1"/>
        <w:rPr>
          <w:rFonts w:asciiTheme="minorHAnsi" w:eastAsiaTheme="minorEastAsia" w:hAnsiTheme="minorHAnsi" w:cstheme="minorBidi"/>
          <w:bCs w:val="0"/>
          <w:sz w:val="22"/>
          <w:szCs w:val="22"/>
          <w:lang w:val="en-NZ" w:eastAsia="en-NZ"/>
        </w:rPr>
      </w:pPr>
      <w:r w:rsidRPr="00BF5DC0">
        <w:rPr>
          <w:iCs/>
        </w:rPr>
        <w:t>Annex 2:  Documents supporting this business case</w:t>
      </w:r>
      <w:r>
        <w:tab/>
      </w:r>
      <w:r>
        <w:fldChar w:fldCharType="begin"/>
      </w:r>
      <w:r>
        <w:instrText xml:space="preserve"> PAGEREF _Toc50549003 \h </w:instrText>
      </w:r>
      <w:r>
        <w:fldChar w:fldCharType="separate"/>
      </w:r>
      <w:r w:rsidR="003F542F">
        <w:t>30</w:t>
      </w:r>
      <w:r>
        <w:fldChar w:fldCharType="end"/>
      </w:r>
    </w:p>
    <w:p w14:paraId="63AA64FF" w14:textId="1BEBBE68" w:rsidR="006F0D20" w:rsidRDefault="006F0D20">
      <w:pPr>
        <w:pStyle w:val="TOC1"/>
        <w:rPr>
          <w:rFonts w:asciiTheme="minorHAnsi" w:eastAsiaTheme="minorEastAsia" w:hAnsiTheme="minorHAnsi" w:cstheme="minorBidi"/>
          <w:bCs w:val="0"/>
          <w:sz w:val="22"/>
          <w:szCs w:val="22"/>
          <w:lang w:val="en-NZ" w:eastAsia="en-NZ"/>
        </w:rPr>
      </w:pPr>
      <w:r w:rsidRPr="00BF5DC0">
        <w:rPr>
          <w:iCs/>
        </w:rPr>
        <w:t>Annex 3: Updated Economic Analysis</w:t>
      </w:r>
      <w:r>
        <w:tab/>
      </w:r>
      <w:r>
        <w:fldChar w:fldCharType="begin"/>
      </w:r>
      <w:r>
        <w:instrText xml:space="preserve"> PAGEREF _Toc50549004 \h </w:instrText>
      </w:r>
      <w:r>
        <w:fldChar w:fldCharType="separate"/>
      </w:r>
      <w:r w:rsidR="003F542F">
        <w:t>31</w:t>
      </w:r>
      <w:r>
        <w:fldChar w:fldCharType="end"/>
      </w:r>
    </w:p>
    <w:p w14:paraId="1AF17CE8" w14:textId="638E063F" w:rsidR="006F0D20" w:rsidRDefault="006F0D20">
      <w:pPr>
        <w:pStyle w:val="TOC1"/>
        <w:rPr>
          <w:rFonts w:asciiTheme="minorHAnsi" w:eastAsiaTheme="minorEastAsia" w:hAnsiTheme="minorHAnsi" w:cstheme="minorBidi"/>
          <w:bCs w:val="0"/>
          <w:sz w:val="22"/>
          <w:szCs w:val="22"/>
          <w:lang w:val="en-NZ" w:eastAsia="en-NZ"/>
        </w:rPr>
      </w:pPr>
      <w:r w:rsidRPr="00BF5DC0">
        <w:rPr>
          <w:iCs/>
        </w:rPr>
        <w:t>Annex 4: Detailed Risk Allocation Schedule</w:t>
      </w:r>
      <w:r>
        <w:tab/>
      </w:r>
      <w:r>
        <w:fldChar w:fldCharType="begin"/>
      </w:r>
      <w:r>
        <w:instrText xml:space="preserve"> PAGEREF _Toc50549005 \h </w:instrText>
      </w:r>
      <w:r>
        <w:fldChar w:fldCharType="separate"/>
      </w:r>
      <w:r w:rsidR="003F542F">
        <w:t>32</w:t>
      </w:r>
      <w:r>
        <w:fldChar w:fldCharType="end"/>
      </w:r>
    </w:p>
    <w:p w14:paraId="3D5183D5" w14:textId="428FADD3" w:rsidR="006F0D20" w:rsidRDefault="006F0D20">
      <w:pPr>
        <w:pStyle w:val="TOC1"/>
        <w:rPr>
          <w:rFonts w:asciiTheme="minorHAnsi" w:eastAsiaTheme="minorEastAsia" w:hAnsiTheme="minorHAnsi" w:cstheme="minorBidi"/>
          <w:bCs w:val="0"/>
          <w:sz w:val="22"/>
          <w:szCs w:val="22"/>
          <w:lang w:val="en-NZ" w:eastAsia="en-NZ"/>
        </w:rPr>
      </w:pPr>
      <w:r w:rsidRPr="00BF5DC0">
        <w:rPr>
          <w:iCs/>
        </w:rPr>
        <w:t>Annex 5: Full list of financial assumptions</w:t>
      </w:r>
      <w:r>
        <w:tab/>
      </w:r>
      <w:r>
        <w:fldChar w:fldCharType="begin"/>
      </w:r>
      <w:r>
        <w:instrText xml:space="preserve"> PAGEREF _Toc50549006 \h </w:instrText>
      </w:r>
      <w:r>
        <w:fldChar w:fldCharType="separate"/>
      </w:r>
      <w:r w:rsidR="003F542F">
        <w:t>33</w:t>
      </w:r>
      <w:r>
        <w:fldChar w:fldCharType="end"/>
      </w:r>
    </w:p>
    <w:p w14:paraId="7B3B5B04" w14:textId="7DDB5237" w:rsidR="006F0D20" w:rsidRDefault="006F0D20">
      <w:pPr>
        <w:pStyle w:val="TOC1"/>
        <w:rPr>
          <w:rFonts w:asciiTheme="minorHAnsi" w:eastAsiaTheme="minorEastAsia" w:hAnsiTheme="minorHAnsi" w:cstheme="minorBidi"/>
          <w:bCs w:val="0"/>
          <w:sz w:val="22"/>
          <w:szCs w:val="22"/>
          <w:lang w:val="en-NZ" w:eastAsia="en-NZ"/>
        </w:rPr>
      </w:pPr>
      <w:r w:rsidRPr="00BF5DC0">
        <w:rPr>
          <w:iCs/>
        </w:rPr>
        <w:t>Annex 6: Benefits Realisation Plan (BRP)</w:t>
      </w:r>
      <w:r>
        <w:tab/>
      </w:r>
      <w:r>
        <w:fldChar w:fldCharType="begin"/>
      </w:r>
      <w:r>
        <w:instrText xml:space="preserve"> PAGEREF _Toc50549007 \h </w:instrText>
      </w:r>
      <w:r>
        <w:fldChar w:fldCharType="separate"/>
      </w:r>
      <w:r w:rsidR="003F542F">
        <w:t>34</w:t>
      </w:r>
      <w:r>
        <w:fldChar w:fldCharType="end"/>
      </w:r>
    </w:p>
    <w:p w14:paraId="2F1FA416" w14:textId="04B9B972" w:rsidR="006F0D20" w:rsidRDefault="006F0D20">
      <w:pPr>
        <w:pStyle w:val="TOC1"/>
        <w:rPr>
          <w:rFonts w:asciiTheme="minorHAnsi" w:eastAsiaTheme="minorEastAsia" w:hAnsiTheme="minorHAnsi" w:cstheme="minorBidi"/>
          <w:bCs w:val="0"/>
          <w:sz w:val="22"/>
          <w:szCs w:val="22"/>
          <w:lang w:val="en-NZ" w:eastAsia="en-NZ"/>
        </w:rPr>
      </w:pPr>
      <w:r w:rsidRPr="00BF5DC0">
        <w:rPr>
          <w:iCs/>
        </w:rPr>
        <w:t xml:space="preserve">Annex 7: Top </w:t>
      </w:r>
      <w:r w:rsidRPr="00BF5DC0">
        <w:rPr>
          <w:iCs/>
          <w:highlight w:val="yellow"/>
        </w:rPr>
        <w:t>20</w:t>
      </w:r>
      <w:r w:rsidRPr="00BF5DC0">
        <w:rPr>
          <w:iCs/>
        </w:rPr>
        <w:t xml:space="preserve"> current risks</w:t>
      </w:r>
      <w:r>
        <w:tab/>
      </w:r>
      <w:r>
        <w:fldChar w:fldCharType="begin"/>
      </w:r>
      <w:r>
        <w:instrText xml:space="preserve"> PAGEREF _Toc50549008 \h </w:instrText>
      </w:r>
      <w:r>
        <w:fldChar w:fldCharType="separate"/>
      </w:r>
      <w:r w:rsidR="003F542F">
        <w:t>35</w:t>
      </w:r>
      <w:r>
        <w:fldChar w:fldCharType="end"/>
      </w:r>
    </w:p>
    <w:p w14:paraId="6BE6AEBD" w14:textId="39771841" w:rsidR="006F0D20" w:rsidRDefault="006F0D20">
      <w:pPr>
        <w:pStyle w:val="TOC1"/>
        <w:rPr>
          <w:rFonts w:asciiTheme="minorHAnsi" w:eastAsiaTheme="minorEastAsia" w:hAnsiTheme="minorHAnsi" w:cstheme="minorBidi"/>
          <w:bCs w:val="0"/>
          <w:sz w:val="22"/>
          <w:szCs w:val="22"/>
          <w:lang w:val="en-NZ" w:eastAsia="en-NZ"/>
        </w:rPr>
      </w:pPr>
      <w:r>
        <w:t>Better Business Cases</w:t>
      </w:r>
      <w:r w:rsidRPr="00BF5DC0">
        <w:rPr>
          <w:vertAlign w:val="superscript"/>
        </w:rPr>
        <w:t xml:space="preserve">TM </w:t>
      </w:r>
      <w:r>
        <w:t>– Implementation Business Case – Guidance</w:t>
      </w:r>
      <w:r>
        <w:tab/>
      </w:r>
      <w:r>
        <w:fldChar w:fldCharType="begin"/>
      </w:r>
      <w:r>
        <w:instrText xml:space="preserve"> PAGEREF _Toc50549009 \h </w:instrText>
      </w:r>
      <w:r>
        <w:fldChar w:fldCharType="separate"/>
      </w:r>
      <w:r w:rsidR="003F542F">
        <w:t>36</w:t>
      </w:r>
      <w:r>
        <w:fldChar w:fldCharType="end"/>
      </w:r>
    </w:p>
    <w:p w14:paraId="0BCA8532" w14:textId="3D75E3A7" w:rsidR="006F0D20" w:rsidRDefault="006F0D20">
      <w:pPr>
        <w:pStyle w:val="TOC1"/>
        <w:rPr>
          <w:rFonts w:asciiTheme="minorHAnsi" w:eastAsiaTheme="minorEastAsia" w:hAnsiTheme="minorHAnsi" w:cstheme="minorBidi"/>
          <w:bCs w:val="0"/>
          <w:sz w:val="22"/>
          <w:szCs w:val="22"/>
          <w:lang w:val="en-NZ" w:eastAsia="en-NZ"/>
        </w:rPr>
      </w:pPr>
      <w:r>
        <w:t>Strategic and Economic Cases</w:t>
      </w:r>
      <w:r>
        <w:tab/>
      </w:r>
      <w:r>
        <w:fldChar w:fldCharType="begin"/>
      </w:r>
      <w:r>
        <w:instrText xml:space="preserve"> PAGEREF _Toc50549010 \h </w:instrText>
      </w:r>
      <w:r>
        <w:fldChar w:fldCharType="separate"/>
      </w:r>
      <w:r w:rsidR="003F542F">
        <w:t>39</w:t>
      </w:r>
      <w:r>
        <w:fldChar w:fldCharType="end"/>
      </w:r>
    </w:p>
    <w:p w14:paraId="73647E71" w14:textId="3DF58BA6" w:rsidR="006F0D20" w:rsidRDefault="006F0D20">
      <w:pPr>
        <w:pStyle w:val="TOC1"/>
        <w:rPr>
          <w:rFonts w:asciiTheme="minorHAnsi" w:eastAsiaTheme="minorEastAsia" w:hAnsiTheme="minorHAnsi" w:cstheme="minorBidi"/>
          <w:bCs w:val="0"/>
          <w:sz w:val="22"/>
          <w:szCs w:val="22"/>
          <w:lang w:val="en-NZ" w:eastAsia="en-NZ"/>
        </w:rPr>
      </w:pPr>
      <w:r>
        <w:t>Commercial Case – Contracting for the project</w:t>
      </w:r>
      <w:r>
        <w:tab/>
      </w:r>
      <w:r>
        <w:fldChar w:fldCharType="begin"/>
      </w:r>
      <w:r>
        <w:instrText xml:space="preserve"> PAGEREF _Toc50549011 \h </w:instrText>
      </w:r>
      <w:r>
        <w:fldChar w:fldCharType="separate"/>
      </w:r>
      <w:r w:rsidR="003F542F">
        <w:t>42</w:t>
      </w:r>
      <w:r>
        <w:fldChar w:fldCharType="end"/>
      </w:r>
    </w:p>
    <w:p w14:paraId="7153A67D" w14:textId="34674B21" w:rsidR="006F0D20" w:rsidRDefault="006F0D20">
      <w:pPr>
        <w:pStyle w:val="TOC1"/>
        <w:rPr>
          <w:rFonts w:asciiTheme="minorHAnsi" w:eastAsiaTheme="minorEastAsia" w:hAnsiTheme="minorHAnsi" w:cstheme="minorBidi"/>
          <w:bCs w:val="0"/>
          <w:sz w:val="22"/>
          <w:szCs w:val="22"/>
          <w:lang w:val="en-NZ" w:eastAsia="en-NZ"/>
        </w:rPr>
      </w:pPr>
      <w:r>
        <w:t>Financial Case – Funding the project</w:t>
      </w:r>
      <w:r>
        <w:tab/>
      </w:r>
      <w:r>
        <w:fldChar w:fldCharType="begin"/>
      </w:r>
      <w:r>
        <w:instrText xml:space="preserve"> PAGEREF _Toc50549012 \h </w:instrText>
      </w:r>
      <w:r>
        <w:fldChar w:fldCharType="separate"/>
      </w:r>
      <w:r w:rsidR="003F542F">
        <w:t>46</w:t>
      </w:r>
      <w:r>
        <w:fldChar w:fldCharType="end"/>
      </w:r>
    </w:p>
    <w:p w14:paraId="312709EA" w14:textId="72522C45" w:rsidR="006F0D20" w:rsidRDefault="006F0D20">
      <w:pPr>
        <w:pStyle w:val="TOC1"/>
        <w:rPr>
          <w:rFonts w:asciiTheme="minorHAnsi" w:eastAsiaTheme="minorEastAsia" w:hAnsiTheme="minorHAnsi" w:cstheme="minorBidi"/>
          <w:bCs w:val="0"/>
          <w:sz w:val="22"/>
          <w:szCs w:val="22"/>
          <w:lang w:val="en-NZ" w:eastAsia="en-NZ"/>
        </w:rPr>
      </w:pPr>
      <w:r>
        <w:t>Management Case – Planning for successful delivery</w:t>
      </w:r>
      <w:r>
        <w:tab/>
      </w:r>
      <w:r>
        <w:fldChar w:fldCharType="begin"/>
      </w:r>
      <w:r>
        <w:instrText xml:space="preserve"> PAGEREF _Toc50549013 \h </w:instrText>
      </w:r>
      <w:r>
        <w:fldChar w:fldCharType="separate"/>
      </w:r>
      <w:r w:rsidR="003F542F">
        <w:t>48</w:t>
      </w:r>
      <w:r>
        <w:fldChar w:fldCharType="end"/>
      </w:r>
    </w:p>
    <w:p w14:paraId="41B41D44" w14:textId="28A4E506" w:rsidR="006F0D20" w:rsidRDefault="006F0D20">
      <w:pPr>
        <w:pStyle w:val="TOC1"/>
        <w:rPr>
          <w:rFonts w:asciiTheme="minorHAnsi" w:eastAsiaTheme="minorEastAsia" w:hAnsiTheme="minorHAnsi" w:cstheme="minorBidi"/>
          <w:bCs w:val="0"/>
          <w:sz w:val="22"/>
          <w:szCs w:val="22"/>
          <w:lang w:val="en-NZ" w:eastAsia="en-NZ"/>
        </w:rPr>
      </w:pPr>
      <w:r>
        <w:t>Annex 1: The 34 Better Business Cases</w:t>
      </w:r>
      <w:r w:rsidRPr="00BF5DC0">
        <w:rPr>
          <w:vertAlign w:val="superscript"/>
        </w:rPr>
        <w:t>TM</w:t>
      </w:r>
      <w:r>
        <w:t xml:space="preserve"> actions</w:t>
      </w:r>
      <w:r>
        <w:tab/>
      </w:r>
      <w:r>
        <w:fldChar w:fldCharType="begin"/>
      </w:r>
      <w:r>
        <w:instrText xml:space="preserve"> PAGEREF _Toc50549014 \h </w:instrText>
      </w:r>
      <w:r>
        <w:fldChar w:fldCharType="separate"/>
      </w:r>
      <w:r w:rsidR="003F542F">
        <w:t>54</w:t>
      </w:r>
      <w:r>
        <w:fldChar w:fldCharType="end"/>
      </w:r>
    </w:p>
    <w:p w14:paraId="35D38994" w14:textId="79DBCC95" w:rsidR="006F0D20" w:rsidRDefault="006F0D20">
      <w:pPr>
        <w:pStyle w:val="TOC1"/>
        <w:rPr>
          <w:rFonts w:asciiTheme="minorHAnsi" w:eastAsiaTheme="minorEastAsia" w:hAnsiTheme="minorHAnsi" w:cstheme="minorBidi"/>
          <w:bCs w:val="0"/>
          <w:sz w:val="22"/>
          <w:szCs w:val="22"/>
          <w:lang w:val="en-NZ" w:eastAsia="en-NZ"/>
        </w:rPr>
      </w:pPr>
      <w:r>
        <w:t>Annex 2: References</w:t>
      </w:r>
      <w:r>
        <w:tab/>
      </w:r>
      <w:r>
        <w:fldChar w:fldCharType="begin"/>
      </w:r>
      <w:r>
        <w:instrText xml:space="preserve"> PAGEREF _Toc50549015 \h </w:instrText>
      </w:r>
      <w:r>
        <w:fldChar w:fldCharType="separate"/>
      </w:r>
      <w:r w:rsidR="003F542F">
        <w:t>55</w:t>
      </w:r>
      <w:r>
        <w:fldChar w:fldCharType="end"/>
      </w:r>
    </w:p>
    <w:p w14:paraId="1267C008" w14:textId="0F51BE5F" w:rsidR="00EE2D8F" w:rsidRDefault="00A03B17" w:rsidP="00F63986">
      <w:r>
        <w:rPr>
          <w:bCs/>
          <w:noProof/>
          <w:sz w:val="24"/>
          <w:szCs w:val="44"/>
        </w:rPr>
        <w:fldChar w:fldCharType="end"/>
      </w:r>
    </w:p>
    <w:p w14:paraId="313EAA48" w14:textId="77777777" w:rsidR="00DB4A5A" w:rsidRDefault="00FB1860" w:rsidP="006E4FDB">
      <w:pPr>
        <w:pStyle w:val="Heading1"/>
      </w:pPr>
      <w:bookmarkStart w:id="45" w:name="_Before_you_start:"/>
      <w:bookmarkStart w:id="46" w:name="_Toc50548993"/>
      <w:bookmarkStart w:id="47" w:name="_Toc308979500"/>
      <w:bookmarkEnd w:id="45"/>
      <w:r w:rsidRPr="00D17BFC">
        <w:lastRenderedPageBreak/>
        <w:t>Before you start</w:t>
      </w:r>
      <w:r>
        <w:t xml:space="preserve">: </w:t>
      </w:r>
      <w:r w:rsidR="00DB4A5A">
        <w:t xml:space="preserve"> </w:t>
      </w:r>
      <w:r w:rsidR="00FF54D0">
        <w:t>Implementation</w:t>
      </w:r>
      <w:r w:rsidR="000915F7" w:rsidRPr="00D17BFC">
        <w:t xml:space="preserve"> Business Case</w:t>
      </w:r>
      <w:r w:rsidR="00634EF8" w:rsidRPr="00D17BFC">
        <w:t xml:space="preserve"> </w:t>
      </w:r>
      <w:r w:rsidR="008365D1" w:rsidRPr="00D17BFC">
        <w:t>(</w:t>
      </w:r>
      <w:proofErr w:type="spellStart"/>
      <w:r w:rsidR="00FF54D0">
        <w:t>Im</w:t>
      </w:r>
      <w:r w:rsidR="000915F7" w:rsidRPr="00D17BFC">
        <w:t>BC</w:t>
      </w:r>
      <w:proofErr w:type="spellEnd"/>
      <w:r w:rsidR="000915F7" w:rsidRPr="00D17BFC">
        <w:t>)</w:t>
      </w:r>
      <w:bookmarkEnd w:id="46"/>
    </w:p>
    <w:p w14:paraId="4C17488C" w14:textId="17D98EBD" w:rsidR="009911C3" w:rsidRDefault="00993F59" w:rsidP="00DB4A5A">
      <w:pPr>
        <w:rPr>
          <w:color w:val="0083AC"/>
          <w:szCs w:val="22"/>
        </w:rPr>
      </w:pPr>
      <w:hyperlink w:anchor="_Better_Business_CasesTM" w:history="1">
        <w:r w:rsidR="00584A3E" w:rsidRPr="00DB4A5A">
          <w:rPr>
            <w:rStyle w:val="Hyperlink"/>
            <w:i/>
            <w:szCs w:val="22"/>
          </w:rPr>
          <w:t>&lt;</w:t>
        </w:r>
        <w:proofErr w:type="gramStart"/>
        <w:r w:rsidR="00584A3E" w:rsidRPr="00DB4A5A">
          <w:rPr>
            <w:rStyle w:val="Hyperlink"/>
            <w:i/>
            <w:szCs w:val="22"/>
          </w:rPr>
          <w:t>go</w:t>
        </w:r>
        <w:proofErr w:type="gramEnd"/>
        <w:r w:rsidR="00584A3E" w:rsidRPr="00DB4A5A">
          <w:rPr>
            <w:rStyle w:val="Hyperlink"/>
            <w:i/>
            <w:szCs w:val="22"/>
          </w:rPr>
          <w:t xml:space="preserve"> t</w:t>
        </w:r>
        <w:r w:rsidR="00B053F1" w:rsidRPr="00DB4A5A">
          <w:rPr>
            <w:rStyle w:val="Hyperlink"/>
            <w:i/>
            <w:szCs w:val="22"/>
          </w:rPr>
          <w:t xml:space="preserve">o </w:t>
        </w:r>
        <w:proofErr w:type="spellStart"/>
        <w:r w:rsidR="00B053F1" w:rsidRPr="00DB4A5A">
          <w:rPr>
            <w:rStyle w:val="Hyperlink"/>
            <w:i/>
            <w:szCs w:val="22"/>
          </w:rPr>
          <w:t>ImBC</w:t>
        </w:r>
        <w:proofErr w:type="spellEnd"/>
        <w:r w:rsidR="00B053F1" w:rsidRPr="00DB4A5A">
          <w:rPr>
            <w:rStyle w:val="Hyperlink"/>
            <w:i/>
            <w:szCs w:val="22"/>
          </w:rPr>
          <w:t xml:space="preserve"> planning guidance&gt;</w:t>
        </w:r>
      </w:hyperlink>
      <w:r w:rsidR="00B053F1" w:rsidRPr="00DB4A5A">
        <w:rPr>
          <w:color w:val="0083AC"/>
          <w:szCs w:val="22"/>
        </w:rPr>
        <w:t xml:space="preserve"> </w:t>
      </w:r>
    </w:p>
    <w:p w14:paraId="59A91AB4" w14:textId="27209147" w:rsidR="002E0C67" w:rsidRPr="00343A00" w:rsidRDefault="002E0C67" w:rsidP="003D5AF3">
      <w:pPr>
        <w:pBdr>
          <w:top w:val="single" w:sz="4" w:space="4" w:color="F2F2F2"/>
          <w:left w:val="single" w:sz="4" w:space="4" w:color="F2F2F2"/>
          <w:bottom w:val="single" w:sz="4" w:space="8" w:color="F2F2F2"/>
          <w:right w:val="single" w:sz="4" w:space="4" w:color="F2F2F2"/>
        </w:pBdr>
        <w:shd w:val="clear" w:color="auto" w:fill="DEEAF6"/>
        <w:spacing w:after="60" w:line="260" w:lineRule="atLeast"/>
        <w:rPr>
          <w:rStyle w:val="Emphasis"/>
        </w:rPr>
      </w:pPr>
      <w:r w:rsidRPr="00343A00">
        <w:rPr>
          <w:rStyle w:val="Emphasis"/>
        </w:rPr>
        <w:t xml:space="preserve">An </w:t>
      </w:r>
      <w:proofErr w:type="spellStart"/>
      <w:r w:rsidRPr="00343A00">
        <w:rPr>
          <w:rStyle w:val="Emphasis"/>
        </w:rPr>
        <w:t>ImBC</w:t>
      </w:r>
      <w:proofErr w:type="spellEnd"/>
      <w:r w:rsidRPr="00343A00">
        <w:rPr>
          <w:rStyle w:val="Emphasis"/>
        </w:rPr>
        <w:t xml:space="preserve"> builds on a Detailed or Single-stage business case.  It provides more accurate time, cost and resourcing data, based on actual supplier proposals, and confirms that the Preferred Option remains the best value.  </w:t>
      </w:r>
    </w:p>
    <w:p w14:paraId="24A9560F" w14:textId="75246487" w:rsidR="009E32FE" w:rsidRPr="00343A00" w:rsidRDefault="00DB4A5A" w:rsidP="00343A00">
      <w:pPr>
        <w:pBdr>
          <w:top w:val="single" w:sz="4" w:space="1" w:color="auto"/>
          <w:left w:val="single" w:sz="4" w:space="4" w:color="auto"/>
          <w:bottom w:val="single" w:sz="4" w:space="7" w:color="auto"/>
          <w:right w:val="single" w:sz="4" w:space="4" w:color="auto"/>
        </w:pBdr>
        <w:shd w:val="clear" w:color="auto" w:fill="FFFF00"/>
        <w:spacing w:line="260" w:lineRule="atLeast"/>
        <w:rPr>
          <w:rStyle w:val="Emphasis"/>
          <w:b/>
          <w:i w:val="0"/>
        </w:rPr>
      </w:pPr>
      <w:r w:rsidRPr="00343A00">
        <w:rPr>
          <w:b/>
          <w:color w:val="FF0000"/>
          <w:sz w:val="20"/>
        </w:rPr>
        <w:t xml:space="preserve">The Implementation Business Case should be a brief document.  </w:t>
      </w:r>
      <w:r w:rsidR="009E32FE" w:rsidRPr="00343A00">
        <w:rPr>
          <w:rStyle w:val="Emphasis"/>
          <w:b/>
          <w:i w:val="0"/>
        </w:rPr>
        <w:t xml:space="preserve">The primary driver for including information is whether it is </w:t>
      </w:r>
      <w:r w:rsidR="009E32FE" w:rsidRPr="00343A00">
        <w:rPr>
          <w:rStyle w:val="Emphasis"/>
          <w:b/>
          <w:i w:val="0"/>
          <w:u w:val="single"/>
        </w:rPr>
        <w:t>required</w:t>
      </w:r>
      <w:r w:rsidR="009E32FE" w:rsidRPr="00343A00">
        <w:rPr>
          <w:rStyle w:val="Emphasis"/>
          <w:b/>
          <w:i w:val="0"/>
        </w:rPr>
        <w:t xml:space="preserve"> to inform the next decision-point.</w:t>
      </w:r>
    </w:p>
    <w:p w14:paraId="10318C8D" w14:textId="57E9BA4A" w:rsidR="002E0C67" w:rsidRPr="00343A00" w:rsidRDefault="002E0C67" w:rsidP="00343A00">
      <w:pPr>
        <w:pBdr>
          <w:top w:val="single" w:sz="4" w:space="1" w:color="auto"/>
          <w:left w:val="single" w:sz="4" w:space="4" w:color="auto"/>
          <w:bottom w:val="single" w:sz="4" w:space="7" w:color="auto"/>
          <w:right w:val="single" w:sz="4" w:space="4" w:color="auto"/>
        </w:pBdr>
        <w:shd w:val="clear" w:color="auto" w:fill="FFFF00"/>
        <w:spacing w:line="260" w:lineRule="atLeast"/>
        <w:rPr>
          <w:b/>
          <w:i/>
          <w:iCs/>
          <w:color w:val="000000" w:themeColor="text1"/>
          <w:sz w:val="20"/>
        </w:rPr>
      </w:pPr>
      <w:r w:rsidRPr="00343A00">
        <w:rPr>
          <w:rStyle w:val="Emphasis"/>
          <w:i w:val="0"/>
          <w:iCs w:val="0"/>
          <w:color w:val="000000" w:themeColor="text1"/>
        </w:rPr>
        <w:t>It must be developed with the involvement of leadership and key stakeholders, as it commits them to successful delivery.</w:t>
      </w:r>
    </w:p>
    <w:p w14:paraId="0F5751E6" w14:textId="289099D1" w:rsidR="0005090F" w:rsidRPr="00343A00" w:rsidRDefault="00DB4A5A" w:rsidP="00343A00">
      <w:pPr>
        <w:pBdr>
          <w:top w:val="single" w:sz="4" w:space="1" w:color="auto"/>
          <w:left w:val="single" w:sz="4" w:space="4" w:color="auto"/>
          <w:bottom w:val="single" w:sz="4" w:space="7" w:color="auto"/>
          <w:right w:val="single" w:sz="4" w:space="4" w:color="auto"/>
        </w:pBdr>
        <w:shd w:val="clear" w:color="auto" w:fill="FFFF00"/>
        <w:spacing w:line="260" w:lineRule="atLeast"/>
        <w:rPr>
          <w:sz w:val="20"/>
        </w:rPr>
      </w:pPr>
      <w:r w:rsidRPr="00343A00">
        <w:rPr>
          <w:sz w:val="20"/>
        </w:rPr>
        <w:t>Sections which revisit and confirm earlier decisions (</w:t>
      </w:r>
      <w:proofErr w:type="spellStart"/>
      <w:r w:rsidRPr="00343A00">
        <w:rPr>
          <w:sz w:val="20"/>
        </w:rPr>
        <w:t>eg</w:t>
      </w:r>
      <w:proofErr w:type="spellEnd"/>
      <w:r w:rsidRPr="00343A00">
        <w:rPr>
          <w:sz w:val="20"/>
        </w:rPr>
        <w:t xml:space="preserve"> strategic case, benefits) may be a </w:t>
      </w:r>
      <w:r w:rsidR="00F11977" w:rsidRPr="00343A00">
        <w:rPr>
          <w:sz w:val="20"/>
        </w:rPr>
        <w:t xml:space="preserve">brief paragraph or </w:t>
      </w:r>
      <w:r w:rsidRPr="00343A00">
        <w:rPr>
          <w:sz w:val="20"/>
        </w:rPr>
        <w:t xml:space="preserve">two describing who was involved and when; </w:t>
      </w:r>
      <w:r w:rsidR="002E0C67" w:rsidRPr="00343A00">
        <w:rPr>
          <w:sz w:val="20"/>
        </w:rPr>
        <w:t>supporting</w:t>
      </w:r>
      <w:r w:rsidRPr="00343A00">
        <w:rPr>
          <w:sz w:val="20"/>
        </w:rPr>
        <w:t xml:space="preserve"> documents</w:t>
      </w:r>
      <w:r w:rsidR="002E0C67" w:rsidRPr="00343A00">
        <w:rPr>
          <w:sz w:val="20"/>
        </w:rPr>
        <w:t xml:space="preserve"> are</w:t>
      </w:r>
      <w:r w:rsidRPr="00343A00">
        <w:rPr>
          <w:sz w:val="20"/>
        </w:rPr>
        <w:t xml:space="preserve"> </w:t>
      </w:r>
      <w:r w:rsidR="0005090F" w:rsidRPr="00343A00">
        <w:rPr>
          <w:sz w:val="20"/>
        </w:rPr>
        <w:t xml:space="preserve">referenced or </w:t>
      </w:r>
      <w:r w:rsidRPr="00343A00">
        <w:rPr>
          <w:sz w:val="20"/>
        </w:rPr>
        <w:t xml:space="preserve">included as annexes. </w:t>
      </w:r>
    </w:p>
    <w:p w14:paraId="23ED8CDE" w14:textId="2268209C" w:rsidR="00DB4A5A" w:rsidRPr="00343A00" w:rsidRDefault="0005090F" w:rsidP="00343A00">
      <w:pPr>
        <w:pBdr>
          <w:top w:val="single" w:sz="4" w:space="1" w:color="auto"/>
          <w:left w:val="single" w:sz="4" w:space="4" w:color="auto"/>
          <w:bottom w:val="single" w:sz="4" w:space="7" w:color="auto"/>
          <w:right w:val="single" w:sz="4" w:space="4" w:color="auto"/>
        </w:pBdr>
        <w:shd w:val="clear" w:color="auto" w:fill="FFFF00"/>
        <w:spacing w:line="260" w:lineRule="atLeast"/>
        <w:rPr>
          <w:sz w:val="20"/>
        </w:rPr>
      </w:pPr>
      <w:r w:rsidRPr="00343A00">
        <w:rPr>
          <w:sz w:val="20"/>
        </w:rPr>
        <w:t xml:space="preserve">Other sections mainly </w:t>
      </w:r>
      <w:r w:rsidR="00DB4A5A" w:rsidRPr="00343A00">
        <w:rPr>
          <w:sz w:val="20"/>
        </w:rPr>
        <w:t xml:space="preserve">summarise and reference the content of procurement, economic </w:t>
      </w:r>
      <w:r w:rsidR="00C064BB" w:rsidRPr="00343A00">
        <w:rPr>
          <w:sz w:val="20"/>
        </w:rPr>
        <w:t xml:space="preserve">and financial </w:t>
      </w:r>
      <w:r w:rsidR="00DB4A5A" w:rsidRPr="00343A00">
        <w:rPr>
          <w:sz w:val="20"/>
        </w:rPr>
        <w:t>analysis</w:t>
      </w:r>
      <w:r w:rsidR="00C064BB" w:rsidRPr="00343A00">
        <w:rPr>
          <w:sz w:val="20"/>
        </w:rPr>
        <w:t>,</w:t>
      </w:r>
      <w:r w:rsidR="00DB4A5A" w:rsidRPr="00343A00">
        <w:rPr>
          <w:sz w:val="20"/>
        </w:rPr>
        <w:t xml:space="preserve"> and project</w:t>
      </w:r>
      <w:r w:rsidR="00C064BB" w:rsidRPr="00343A00">
        <w:rPr>
          <w:sz w:val="20"/>
        </w:rPr>
        <w:t xml:space="preserve"> management</w:t>
      </w:r>
      <w:r w:rsidR="00DB4A5A" w:rsidRPr="00343A00">
        <w:rPr>
          <w:sz w:val="20"/>
        </w:rPr>
        <w:t xml:space="preserve"> documents</w:t>
      </w:r>
      <w:r w:rsidR="00CD38D1" w:rsidRPr="00343A00">
        <w:rPr>
          <w:sz w:val="20"/>
        </w:rPr>
        <w:t>.</w:t>
      </w:r>
      <w:r w:rsidR="00DB4A5A" w:rsidRPr="00343A00">
        <w:rPr>
          <w:sz w:val="20"/>
        </w:rPr>
        <w:t xml:space="preserve"> </w:t>
      </w:r>
      <w:r w:rsidR="00C064BB" w:rsidRPr="00343A00">
        <w:rPr>
          <w:sz w:val="20"/>
        </w:rPr>
        <w:t xml:space="preserve"> </w:t>
      </w:r>
      <w:r w:rsidR="00CD38D1" w:rsidRPr="00343A00">
        <w:rPr>
          <w:sz w:val="20"/>
        </w:rPr>
        <w:t xml:space="preserve">These documents must be detailed in </w:t>
      </w:r>
      <w:hyperlink w:anchor="_Annex_2:_" w:history="1">
        <w:r w:rsidR="00CD38D1" w:rsidRPr="00343A00">
          <w:rPr>
            <w:rStyle w:val="Hyperlink"/>
            <w:sz w:val="20"/>
          </w:rPr>
          <w:t>Annex 2</w:t>
        </w:r>
      </w:hyperlink>
      <w:r w:rsidR="00CD38D1" w:rsidRPr="00343A00">
        <w:rPr>
          <w:sz w:val="20"/>
        </w:rPr>
        <w:t xml:space="preserve"> and </w:t>
      </w:r>
      <w:r w:rsidR="00CD38D1" w:rsidRPr="00343A00">
        <w:rPr>
          <w:b/>
          <w:sz w:val="20"/>
        </w:rPr>
        <w:t>must</w:t>
      </w:r>
      <w:r w:rsidR="00CD38D1" w:rsidRPr="00343A00">
        <w:rPr>
          <w:sz w:val="20"/>
        </w:rPr>
        <w:t xml:space="preserve"> be available to reviewers and central agencies on request</w:t>
      </w:r>
      <w:r w:rsidR="00A8067D" w:rsidRPr="00343A00">
        <w:rPr>
          <w:sz w:val="20"/>
        </w:rPr>
        <w:t>, as evidence to support any statements made in the business case</w:t>
      </w:r>
      <w:r w:rsidR="00CD38D1" w:rsidRPr="00343A00">
        <w:rPr>
          <w:sz w:val="20"/>
        </w:rPr>
        <w:t>.</w:t>
      </w:r>
    </w:p>
    <w:p w14:paraId="16C82C2D" w14:textId="63FB21CC" w:rsidR="00A8067D" w:rsidRPr="00343A00" w:rsidRDefault="00A8067D" w:rsidP="00343A00">
      <w:pPr>
        <w:pBdr>
          <w:top w:val="single" w:sz="4" w:space="1" w:color="auto"/>
          <w:left w:val="single" w:sz="4" w:space="4" w:color="auto"/>
          <w:bottom w:val="single" w:sz="4" w:space="7" w:color="auto"/>
          <w:right w:val="single" w:sz="4" w:space="4" w:color="auto"/>
        </w:pBdr>
        <w:shd w:val="clear" w:color="auto" w:fill="FFFF00"/>
        <w:spacing w:line="260" w:lineRule="atLeast"/>
        <w:rPr>
          <w:iCs/>
          <w:color w:val="000000" w:themeColor="text1"/>
          <w:sz w:val="20"/>
        </w:rPr>
      </w:pPr>
      <w:r w:rsidRPr="00343A00">
        <w:rPr>
          <w:rStyle w:val="Emphasis"/>
          <w:i w:val="0"/>
          <w:color w:val="000000" w:themeColor="text1"/>
        </w:rPr>
        <w:t xml:space="preserve">Signoff of the </w:t>
      </w:r>
      <w:proofErr w:type="spellStart"/>
      <w:r w:rsidRPr="00343A00">
        <w:rPr>
          <w:rStyle w:val="Emphasis"/>
          <w:i w:val="0"/>
          <w:color w:val="000000" w:themeColor="text1"/>
        </w:rPr>
        <w:t>ImBC</w:t>
      </w:r>
      <w:proofErr w:type="spellEnd"/>
      <w:r w:rsidRPr="00343A00">
        <w:rPr>
          <w:rStyle w:val="Emphasis"/>
          <w:i w:val="0"/>
          <w:color w:val="000000" w:themeColor="text1"/>
        </w:rPr>
        <w:t xml:space="preserve"> is generally delegated to Joint Ministers, if its content is within the parameters set in the DBC/SSBC approval.</w:t>
      </w:r>
      <w:r w:rsidR="00816460" w:rsidRPr="00343A00">
        <w:rPr>
          <w:rStyle w:val="Emphasis"/>
          <w:i w:val="0"/>
          <w:color w:val="000000" w:themeColor="text1"/>
        </w:rPr>
        <w:t xml:space="preserve"> </w:t>
      </w:r>
      <w:r w:rsidRPr="00343A00">
        <w:rPr>
          <w:rStyle w:val="Emphasis"/>
          <w:i w:val="0"/>
          <w:color w:val="000000" w:themeColor="text1"/>
        </w:rPr>
        <w:t xml:space="preserve"> If </w:t>
      </w:r>
      <w:r w:rsidR="00816460" w:rsidRPr="00343A00">
        <w:rPr>
          <w:rStyle w:val="Emphasis"/>
          <w:i w:val="0"/>
          <w:color w:val="000000" w:themeColor="text1"/>
        </w:rPr>
        <w:t>it is not</w:t>
      </w:r>
      <w:r w:rsidRPr="00343A00">
        <w:rPr>
          <w:rStyle w:val="Emphasis"/>
          <w:i w:val="0"/>
          <w:color w:val="000000" w:themeColor="text1"/>
        </w:rPr>
        <w:t>, it should go to Cabinet for approval, and may require resubmission of an updated version of the previous business case.</w:t>
      </w:r>
    </w:p>
    <w:p w14:paraId="403DA12B" w14:textId="77777777" w:rsidR="002D62D4" w:rsidRPr="00343A00" w:rsidRDefault="00B51A94"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43A00">
        <w:rPr>
          <w:rStyle w:val="Emphasis"/>
        </w:rPr>
        <w:t>This document provides a template</w:t>
      </w:r>
      <w:r w:rsidR="00D64AA2" w:rsidRPr="00343A00">
        <w:rPr>
          <w:rStyle w:val="Emphasis"/>
        </w:rPr>
        <w:t xml:space="preserve"> and guidance for an </w:t>
      </w:r>
      <w:r w:rsidR="00D64AA2" w:rsidRPr="00343A00">
        <w:rPr>
          <w:rStyle w:val="Emphasis"/>
          <w:b/>
        </w:rPr>
        <w:t xml:space="preserve">Implementation </w:t>
      </w:r>
      <w:r w:rsidRPr="00343A00">
        <w:rPr>
          <w:rStyle w:val="Emphasis"/>
          <w:b/>
        </w:rPr>
        <w:t>Business Case</w:t>
      </w:r>
      <w:r w:rsidRPr="00343A00">
        <w:rPr>
          <w:rStyle w:val="Emphasis"/>
        </w:rPr>
        <w:t xml:space="preserve"> </w:t>
      </w:r>
      <w:r w:rsidR="00D64AA2" w:rsidRPr="00343A00">
        <w:rPr>
          <w:rStyle w:val="Emphasis"/>
        </w:rPr>
        <w:t>(</w:t>
      </w:r>
      <w:proofErr w:type="spellStart"/>
      <w:r w:rsidR="00D64AA2" w:rsidRPr="00343A00">
        <w:rPr>
          <w:rStyle w:val="Emphasis"/>
        </w:rPr>
        <w:t>Im</w:t>
      </w:r>
      <w:r w:rsidRPr="00343A00">
        <w:rPr>
          <w:rStyle w:val="Emphasis"/>
        </w:rPr>
        <w:t>BC</w:t>
      </w:r>
      <w:proofErr w:type="spellEnd"/>
      <w:r w:rsidRPr="00343A00">
        <w:rPr>
          <w:rStyle w:val="Emphasis"/>
        </w:rPr>
        <w:t xml:space="preserve">) as part of the Better Business </w:t>
      </w:r>
      <w:proofErr w:type="spellStart"/>
      <w:r w:rsidRPr="00343A00">
        <w:rPr>
          <w:rStyle w:val="Emphasis"/>
        </w:rPr>
        <w:t>Cases</w:t>
      </w:r>
      <w:r w:rsidRPr="00343A00">
        <w:rPr>
          <w:rStyle w:val="Emphasis"/>
          <w:vertAlign w:val="superscript"/>
        </w:rPr>
        <w:t>TM</w:t>
      </w:r>
      <w:proofErr w:type="spellEnd"/>
      <w:r w:rsidR="00186661" w:rsidRPr="00343A00">
        <w:rPr>
          <w:rStyle w:val="Emphasis"/>
        </w:rPr>
        <w:t xml:space="preserve"> </w:t>
      </w:r>
      <w:r w:rsidR="001A082C" w:rsidRPr="00343A00">
        <w:rPr>
          <w:rStyle w:val="Emphasis"/>
        </w:rPr>
        <w:t xml:space="preserve">(BBC) </w:t>
      </w:r>
      <w:r w:rsidR="00186661" w:rsidRPr="00343A00">
        <w:rPr>
          <w:rStyle w:val="Emphasis"/>
        </w:rPr>
        <w:t xml:space="preserve">guidance. </w:t>
      </w:r>
      <w:r w:rsidR="001D698D" w:rsidRPr="00343A00">
        <w:rPr>
          <w:rStyle w:val="Emphasis"/>
        </w:rPr>
        <w:t xml:space="preserve"> </w:t>
      </w:r>
      <w:r w:rsidR="00186661" w:rsidRPr="00343A00">
        <w:rPr>
          <w:rStyle w:val="Emphasis"/>
        </w:rPr>
        <w:t>The template</w:t>
      </w:r>
      <w:r w:rsidRPr="00343A00">
        <w:rPr>
          <w:rStyle w:val="Emphasis"/>
        </w:rPr>
        <w:t xml:space="preserve"> sets out good practice, </w:t>
      </w:r>
      <w:r w:rsidR="00186661" w:rsidRPr="00343A00">
        <w:rPr>
          <w:rStyle w:val="Emphasis"/>
        </w:rPr>
        <w:t>and should be adapted to optimise</w:t>
      </w:r>
      <w:r w:rsidRPr="00343A00">
        <w:rPr>
          <w:rStyle w:val="Emphasis"/>
        </w:rPr>
        <w:t xml:space="preserve"> relevance </w:t>
      </w:r>
      <w:r w:rsidR="00186661" w:rsidRPr="00343A00">
        <w:rPr>
          <w:rStyle w:val="Emphasis"/>
        </w:rPr>
        <w:t>to the required decision</w:t>
      </w:r>
      <w:r w:rsidRPr="00343A00">
        <w:rPr>
          <w:rStyle w:val="Emphasis"/>
        </w:rPr>
        <w:t xml:space="preserve">. </w:t>
      </w:r>
      <w:r w:rsidR="001D698D" w:rsidRPr="00343A00">
        <w:rPr>
          <w:rStyle w:val="Emphasis"/>
        </w:rPr>
        <w:t xml:space="preserve"> </w:t>
      </w:r>
      <w:r w:rsidRPr="00343A00">
        <w:rPr>
          <w:rStyle w:val="Emphasis"/>
        </w:rPr>
        <w:t xml:space="preserve">Some sections </w:t>
      </w:r>
      <w:r w:rsidR="001A082C" w:rsidRPr="00343A00">
        <w:rPr>
          <w:rStyle w:val="Emphasis"/>
        </w:rPr>
        <w:t xml:space="preserve">may </w:t>
      </w:r>
      <w:r w:rsidRPr="00343A00">
        <w:rPr>
          <w:rStyle w:val="Emphasis"/>
        </w:rPr>
        <w:t xml:space="preserve">be </w:t>
      </w:r>
      <w:r w:rsidR="001A082C" w:rsidRPr="00343A00">
        <w:rPr>
          <w:rStyle w:val="Emphasis"/>
        </w:rPr>
        <w:t xml:space="preserve">minimised (but not deleted) if less </w:t>
      </w:r>
      <w:r w:rsidRPr="00343A00">
        <w:rPr>
          <w:rStyle w:val="Emphasis"/>
        </w:rPr>
        <w:t xml:space="preserve">relevant </w:t>
      </w:r>
      <w:r w:rsidR="001A082C" w:rsidRPr="00343A00">
        <w:rPr>
          <w:rStyle w:val="Emphasis"/>
        </w:rPr>
        <w:t xml:space="preserve">to </w:t>
      </w:r>
      <w:r w:rsidRPr="00343A00">
        <w:rPr>
          <w:rStyle w:val="Emphasis"/>
        </w:rPr>
        <w:t xml:space="preserve">some </w:t>
      </w:r>
      <w:r w:rsidR="001A082C" w:rsidRPr="00343A00">
        <w:rPr>
          <w:rStyle w:val="Emphasis"/>
        </w:rPr>
        <w:t>investments</w:t>
      </w:r>
      <w:r w:rsidR="0005090F" w:rsidRPr="00343A00">
        <w:rPr>
          <w:rStyle w:val="Emphasis"/>
        </w:rPr>
        <w:t>.</w:t>
      </w:r>
      <w:r w:rsidR="00A5266B" w:rsidRPr="00343A00">
        <w:rPr>
          <w:rStyle w:val="Emphasis"/>
        </w:rPr>
        <w:t xml:space="preserve"> </w:t>
      </w:r>
    </w:p>
    <w:p w14:paraId="175CB3DC" w14:textId="77777777" w:rsidR="00D26FF5" w:rsidRPr="00343A00" w:rsidRDefault="00D26FF5"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Fonts w:ascii="Arial Bold" w:hAnsi="Arial Bold"/>
          <w:b/>
        </w:rPr>
      </w:pPr>
      <w:r w:rsidRPr="00343A00">
        <w:rPr>
          <w:rStyle w:val="Emphasis"/>
          <w:rFonts w:cs="Arial"/>
          <w:b/>
        </w:rPr>
        <w:t>Scope</w:t>
      </w:r>
      <w:r w:rsidRPr="00343A00">
        <w:rPr>
          <w:rStyle w:val="Emphasis"/>
          <w:rFonts w:cs="Arial"/>
        </w:rPr>
        <w:t xml:space="preserve"> of an Implementation Business Case</w:t>
      </w:r>
      <w:r w:rsidRPr="00343A00">
        <w:rPr>
          <w:rStyle w:val="Emphasis"/>
          <w:rFonts w:ascii="Arial Bold" w:hAnsi="Arial Bold"/>
          <w:b/>
        </w:rPr>
        <w:t xml:space="preserve"> </w:t>
      </w:r>
      <w:r w:rsidRPr="00343A00">
        <w:rPr>
          <w:rStyle w:val="Emphasis"/>
        </w:rPr>
        <w:t>may be for a:</w:t>
      </w:r>
    </w:p>
    <w:p w14:paraId="5A6CAC1A" w14:textId="77777777" w:rsidR="00D26FF5" w:rsidRPr="00343A00" w:rsidRDefault="00D26FF5" w:rsidP="00AE143F">
      <w:pPr>
        <w:pStyle w:val="Boxbullet"/>
        <w:ind w:left="425" w:hanging="425"/>
        <w:rPr>
          <w:rStyle w:val="Emphasis"/>
          <w:i w:val="0"/>
          <w:iCs w:val="0"/>
        </w:rPr>
      </w:pPr>
      <w:r w:rsidRPr="00343A00">
        <w:rPr>
          <w:rStyle w:val="Emphasis"/>
          <w:i w:val="0"/>
          <w:iCs w:val="0"/>
        </w:rPr>
        <w:t>stand-alone project</w:t>
      </w:r>
    </w:p>
    <w:p w14:paraId="16134F98" w14:textId="465D7DBD" w:rsidR="00D26FF5" w:rsidRPr="00343A00" w:rsidRDefault="00D26FF5" w:rsidP="00AE143F">
      <w:pPr>
        <w:pStyle w:val="Boxbullet"/>
        <w:ind w:left="425" w:hanging="425"/>
        <w:rPr>
          <w:rStyle w:val="Emphasis"/>
          <w:i w:val="0"/>
          <w:iCs w:val="0"/>
        </w:rPr>
      </w:pPr>
      <w:r w:rsidRPr="00343A00">
        <w:rPr>
          <w:rStyle w:val="Emphasis"/>
          <w:i w:val="0"/>
          <w:iCs w:val="0"/>
        </w:rPr>
        <w:t xml:space="preserve">project </w:t>
      </w:r>
      <w:r w:rsidR="00823377" w:rsidRPr="00343A00">
        <w:rPr>
          <w:rStyle w:val="Emphasis"/>
          <w:i w:val="0"/>
          <w:iCs w:val="0"/>
        </w:rPr>
        <w:t>(or multiple minor projects)</w:t>
      </w:r>
      <w:r w:rsidR="00816460" w:rsidRPr="00343A00">
        <w:rPr>
          <w:rStyle w:val="Emphasis"/>
          <w:i w:val="0"/>
          <w:iCs w:val="0"/>
        </w:rPr>
        <w:t xml:space="preserve"> </w:t>
      </w:r>
      <w:r w:rsidRPr="00343A00">
        <w:rPr>
          <w:rStyle w:val="Emphasis"/>
          <w:i w:val="0"/>
          <w:iCs w:val="0"/>
        </w:rPr>
        <w:t>within a programme</w:t>
      </w:r>
    </w:p>
    <w:p w14:paraId="7DE12E24" w14:textId="74179056" w:rsidR="00D26FF5" w:rsidRPr="00343A00" w:rsidRDefault="00097A2D" w:rsidP="00AE143F">
      <w:pPr>
        <w:pStyle w:val="Boxbullet"/>
        <w:ind w:left="425" w:hanging="425"/>
        <w:rPr>
          <w:rStyle w:val="Emphasis"/>
          <w:i w:val="0"/>
          <w:iCs w:val="0"/>
        </w:rPr>
      </w:pPr>
      <w:r w:rsidRPr="00343A00">
        <w:rPr>
          <w:rStyle w:val="Emphasis"/>
          <w:i w:val="0"/>
          <w:iCs w:val="0"/>
        </w:rPr>
        <w:t>(</w:t>
      </w:r>
      <w:proofErr w:type="gramStart"/>
      <w:r w:rsidRPr="00343A00">
        <w:rPr>
          <w:rStyle w:val="Emphasis"/>
          <w:i w:val="0"/>
          <w:iCs w:val="0"/>
        </w:rPr>
        <w:t>rarely</w:t>
      </w:r>
      <w:proofErr w:type="gramEnd"/>
      <w:r w:rsidRPr="00343A00">
        <w:rPr>
          <w:rStyle w:val="Emphasis"/>
          <w:i w:val="0"/>
          <w:iCs w:val="0"/>
        </w:rPr>
        <w:t xml:space="preserve">) </w:t>
      </w:r>
      <w:r w:rsidR="00D26FF5" w:rsidRPr="00343A00">
        <w:rPr>
          <w:rStyle w:val="Emphasis"/>
          <w:i w:val="0"/>
          <w:iCs w:val="0"/>
        </w:rPr>
        <w:t>tranche</w:t>
      </w:r>
      <w:r w:rsidR="00D26FF5" w:rsidRPr="00993F59">
        <w:rPr>
          <w:rStyle w:val="Emphasis"/>
          <w:i w:val="0"/>
          <w:iCs w:val="0"/>
          <w:vertAlign w:val="superscript"/>
        </w:rPr>
        <w:footnoteReference w:id="1"/>
      </w:r>
      <w:r w:rsidR="00D26FF5" w:rsidRPr="00343A00">
        <w:rPr>
          <w:rStyle w:val="Emphasis"/>
          <w:i w:val="0"/>
          <w:iCs w:val="0"/>
        </w:rPr>
        <w:t xml:space="preserve"> of a programme</w:t>
      </w:r>
      <w:r w:rsidR="00A8067D" w:rsidRPr="00343A00">
        <w:rPr>
          <w:rStyle w:val="Emphasis"/>
          <w:i w:val="0"/>
          <w:iCs w:val="0"/>
        </w:rPr>
        <w:t>.</w:t>
      </w:r>
    </w:p>
    <w:p w14:paraId="42B4168F" w14:textId="77777777" w:rsidR="00C32716" w:rsidRPr="00343A00" w:rsidRDefault="009E32FE" w:rsidP="00A62DED">
      <w:pPr>
        <w:keepNext/>
        <w:pBdr>
          <w:top w:val="single" w:sz="4" w:space="4" w:color="F2F2F2"/>
          <w:left w:val="single" w:sz="4" w:space="4" w:color="F2F2F2"/>
          <w:bottom w:val="single" w:sz="4" w:space="8" w:color="F2F2F2"/>
          <w:right w:val="single" w:sz="4" w:space="4" w:color="F2F2F2"/>
        </w:pBdr>
        <w:shd w:val="clear" w:color="auto" w:fill="DEEAF6"/>
        <w:spacing w:before="80"/>
        <w:rPr>
          <w:rStyle w:val="Emphasis"/>
          <w:rFonts w:ascii="Arial Bold" w:hAnsi="Arial Bold"/>
          <w:b/>
        </w:rPr>
      </w:pPr>
      <w:r w:rsidRPr="00343A00">
        <w:rPr>
          <w:rStyle w:val="Emphasis"/>
          <w:rFonts w:ascii="Arial Bold" w:hAnsi="Arial Bold"/>
          <w:b/>
        </w:rPr>
        <w:t>P</w:t>
      </w:r>
      <w:r w:rsidR="00A62DED" w:rsidRPr="00343A00">
        <w:rPr>
          <w:rStyle w:val="Emphasis"/>
          <w:rFonts w:ascii="Arial Bold" w:hAnsi="Arial Bold"/>
          <w:b/>
        </w:rPr>
        <w:t>urposes of t</w:t>
      </w:r>
      <w:r w:rsidR="00C32716" w:rsidRPr="00343A00">
        <w:rPr>
          <w:rStyle w:val="Emphasis"/>
          <w:rFonts w:ascii="Arial Bold" w:hAnsi="Arial Bold"/>
          <w:b/>
        </w:rPr>
        <w:t>he Implementation Business Case:</w:t>
      </w:r>
    </w:p>
    <w:p w14:paraId="301745FD" w14:textId="77777777" w:rsidR="002E0C67" w:rsidRPr="00343A00" w:rsidRDefault="002E0C67"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i w:val="0"/>
          <w:iCs w:val="0"/>
        </w:rPr>
      </w:pPr>
      <w:r w:rsidRPr="00343A00">
        <w:rPr>
          <w:rStyle w:val="Emphasis"/>
        </w:rPr>
        <w:t xml:space="preserve">The </w:t>
      </w:r>
      <w:proofErr w:type="spellStart"/>
      <w:r w:rsidRPr="00343A00">
        <w:rPr>
          <w:rStyle w:val="Emphasis"/>
        </w:rPr>
        <w:t>ImBC</w:t>
      </w:r>
      <w:proofErr w:type="spellEnd"/>
      <w:r w:rsidRPr="00343A00">
        <w:rPr>
          <w:rStyle w:val="Emphasis"/>
        </w:rPr>
        <w:t xml:space="preserve"> must provide just enough information for decision-makers:</w:t>
      </w:r>
    </w:p>
    <w:p w14:paraId="07E4C22C" w14:textId="77777777" w:rsidR="002E0C67" w:rsidRPr="00343A00" w:rsidRDefault="002E0C67" w:rsidP="00AE143F">
      <w:pPr>
        <w:pStyle w:val="Boxbullet"/>
        <w:ind w:left="425" w:hanging="425"/>
        <w:rPr>
          <w:rStyle w:val="Emphasis"/>
          <w:i w:val="0"/>
          <w:iCs w:val="0"/>
        </w:rPr>
      </w:pPr>
      <w:r w:rsidRPr="00343A00">
        <w:rPr>
          <w:rStyle w:val="Emphasis"/>
          <w:i w:val="0"/>
          <w:iCs w:val="0"/>
        </w:rPr>
        <w:t>To be confident that the initiative is still required and a good strategic fit (Strategic Case)</w:t>
      </w:r>
    </w:p>
    <w:p w14:paraId="6DF9BB7E" w14:textId="31CC6730" w:rsidR="002E0C67" w:rsidRPr="00343A00" w:rsidRDefault="002E0C67" w:rsidP="00AE143F">
      <w:pPr>
        <w:pStyle w:val="Boxbullet"/>
        <w:ind w:left="425" w:hanging="425"/>
        <w:rPr>
          <w:rStyle w:val="Emphasis"/>
          <w:i w:val="0"/>
          <w:iCs w:val="0"/>
        </w:rPr>
      </w:pPr>
      <w:r w:rsidRPr="00343A00">
        <w:rPr>
          <w:rStyle w:val="Emphasis"/>
          <w:i w:val="0"/>
          <w:iCs w:val="0"/>
        </w:rPr>
        <w:t>To be confident that the appropriate Preferred Option has been chosen and the costs, benefits and public value still holds</w:t>
      </w:r>
      <w:r w:rsidR="0003254E" w:rsidRPr="00343A00">
        <w:rPr>
          <w:rStyle w:val="Emphasis"/>
          <w:i w:val="0"/>
          <w:iCs w:val="0"/>
        </w:rPr>
        <w:t xml:space="preserve"> (Ec</w:t>
      </w:r>
      <w:r w:rsidR="0003254E" w:rsidRPr="00343A00">
        <w:t>onomic</w:t>
      </w:r>
      <w:r w:rsidR="0003254E" w:rsidRPr="00343A00">
        <w:rPr>
          <w:rStyle w:val="Emphasis"/>
          <w:i w:val="0"/>
          <w:iCs w:val="0"/>
        </w:rPr>
        <w:t xml:space="preserve"> Case)</w:t>
      </w:r>
    </w:p>
    <w:p w14:paraId="209AC2BE" w14:textId="77777777" w:rsidR="002E0C67" w:rsidRPr="00343A00" w:rsidRDefault="002E0C67" w:rsidP="00AE143F">
      <w:pPr>
        <w:pStyle w:val="Boxbullet"/>
        <w:ind w:left="425" w:hanging="425"/>
        <w:rPr>
          <w:rStyle w:val="Emphasis"/>
          <w:i w:val="0"/>
          <w:iCs w:val="0"/>
        </w:rPr>
      </w:pPr>
      <w:r w:rsidRPr="00343A00">
        <w:rPr>
          <w:rStyle w:val="Emphasis"/>
          <w:i w:val="0"/>
          <w:iCs w:val="0"/>
        </w:rPr>
        <w:t>To approve the selected supplier(s), and the contract arrangements, so that the contract can be signed (Commercial Case)</w:t>
      </w:r>
    </w:p>
    <w:p w14:paraId="6C2DB123" w14:textId="77777777" w:rsidR="002E0C67" w:rsidRPr="00343A00" w:rsidRDefault="002E0C67" w:rsidP="00AE143F">
      <w:pPr>
        <w:pStyle w:val="Boxbullet"/>
        <w:ind w:left="425" w:hanging="425"/>
        <w:rPr>
          <w:rStyle w:val="Emphasis"/>
          <w:i w:val="0"/>
          <w:iCs w:val="0"/>
        </w:rPr>
      </w:pPr>
      <w:r w:rsidRPr="00343A00">
        <w:rPr>
          <w:rStyle w:val="Emphasis"/>
          <w:i w:val="0"/>
          <w:iCs w:val="0"/>
        </w:rPr>
        <w:t>To approve funding arrangements and draw-down of funding (Financial Case). For government department and state sector projects, approval generally enables draw-down from ‘tagged contingency’ established on approval of an earlier business case</w:t>
      </w:r>
    </w:p>
    <w:p w14:paraId="2FF17BCF" w14:textId="17C351B0" w:rsidR="002E0C67" w:rsidRPr="00343A00" w:rsidRDefault="002E0C67" w:rsidP="00AE143F">
      <w:pPr>
        <w:pStyle w:val="Boxbullet"/>
        <w:ind w:left="425" w:hanging="425"/>
        <w:rPr>
          <w:rStyle w:val="Emphasis"/>
          <w:i w:val="0"/>
          <w:iCs w:val="0"/>
        </w:rPr>
      </w:pPr>
      <w:r w:rsidRPr="00343A00">
        <w:rPr>
          <w:rStyle w:val="Emphasis"/>
          <w:i w:val="0"/>
          <w:iCs w:val="0"/>
        </w:rPr>
        <w:t xml:space="preserve">To approve plans for the project to execute contracts and deliver (implement) the </w:t>
      </w:r>
      <w:r w:rsidR="00211642" w:rsidRPr="00343A00">
        <w:rPr>
          <w:rStyle w:val="Emphasis"/>
          <w:i w:val="0"/>
          <w:iCs w:val="0"/>
        </w:rPr>
        <w:t>project</w:t>
      </w:r>
      <w:r w:rsidR="00024E9C" w:rsidRPr="00343A00">
        <w:rPr>
          <w:rStyle w:val="Emphasis"/>
          <w:i w:val="0"/>
          <w:iCs w:val="0"/>
        </w:rPr>
        <w:t>/tranche</w:t>
      </w:r>
      <w:r w:rsidR="00211642" w:rsidRPr="00343A00">
        <w:rPr>
          <w:rStyle w:val="Emphasis"/>
          <w:i w:val="0"/>
          <w:iCs w:val="0"/>
        </w:rPr>
        <w:t xml:space="preserve"> </w:t>
      </w:r>
      <w:r w:rsidRPr="00343A00">
        <w:rPr>
          <w:rStyle w:val="Emphasis"/>
          <w:i w:val="0"/>
          <w:iCs w:val="0"/>
        </w:rPr>
        <w:t>(Management Case)</w:t>
      </w:r>
    </w:p>
    <w:p w14:paraId="1A461429" w14:textId="09447C5C" w:rsidR="00D26FF5" w:rsidRPr="00343A00" w:rsidRDefault="00D26FF5" w:rsidP="00343A00">
      <w:pPr>
        <w:keepNext/>
        <w:keepLines/>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43A00">
        <w:rPr>
          <w:rStyle w:val="Emphasis"/>
        </w:rPr>
        <w:lastRenderedPageBreak/>
        <w:t xml:space="preserve">The </w:t>
      </w:r>
      <w:proofErr w:type="spellStart"/>
      <w:r w:rsidRPr="00343A00">
        <w:rPr>
          <w:rStyle w:val="Emphasis"/>
        </w:rPr>
        <w:t>ImBC</w:t>
      </w:r>
      <w:proofErr w:type="spellEnd"/>
      <w:r w:rsidRPr="00343A00">
        <w:rPr>
          <w:rStyle w:val="Emphasis"/>
        </w:rPr>
        <w:t xml:space="preserve"> should summarise and reference other planning documents instead of repeating the information.  In this case, the supporting document should be </w:t>
      </w:r>
      <w:r w:rsidR="002E0C67" w:rsidRPr="00343A00">
        <w:rPr>
          <w:rStyle w:val="Emphasis"/>
        </w:rPr>
        <w:t>listed in Annex 2 and must be available on request to reviewers, central agencies and functional leads. A small number of critical documents or extracts from critical documents are themselves attached as annexes.</w:t>
      </w:r>
      <w:r w:rsidRPr="00343A00">
        <w:rPr>
          <w:rStyle w:val="Emphasis"/>
        </w:rPr>
        <w:t xml:space="preserve">  </w:t>
      </w:r>
    </w:p>
    <w:p w14:paraId="0D801F72" w14:textId="75197C91" w:rsidR="00B51A94" w:rsidRPr="00343A00" w:rsidRDefault="00B51A94"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43A00">
        <w:rPr>
          <w:rStyle w:val="Emphasis"/>
        </w:rPr>
        <w:t xml:space="preserve">Text in blue or </w:t>
      </w:r>
      <w:r w:rsidRPr="00343A00">
        <w:rPr>
          <w:rStyle w:val="Emphasis"/>
          <w:color w:val="0000FF"/>
        </w:rPr>
        <w:t>blue ital</w:t>
      </w:r>
      <w:r w:rsidR="00343A00" w:rsidRPr="00343A00">
        <w:rPr>
          <w:rStyle w:val="Emphasis"/>
          <w:color w:val="0000FF"/>
        </w:rPr>
        <w:t>ics</w:t>
      </w:r>
      <w:r w:rsidRPr="00343A00">
        <w:rPr>
          <w:rStyle w:val="Emphasis"/>
        </w:rPr>
        <w:t xml:space="preserve"> is commentary and guidance for drafting purposes; delete it when no longer required. </w:t>
      </w:r>
    </w:p>
    <w:p w14:paraId="074314E3" w14:textId="77777777" w:rsidR="00B51A94" w:rsidRPr="00343A00" w:rsidRDefault="00B51A94"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43A00">
        <w:rPr>
          <w:rStyle w:val="Emphasis"/>
          <w:i w:val="0"/>
          <w:color w:val="000000"/>
        </w:rPr>
        <w:t xml:space="preserve">Text in black </w:t>
      </w:r>
      <w:r w:rsidRPr="00343A00">
        <w:rPr>
          <w:rStyle w:val="Emphasis"/>
        </w:rPr>
        <w:t xml:space="preserve">is suggested wording for the business case document – feel free to use it or your own wording. </w:t>
      </w:r>
    </w:p>
    <w:p w14:paraId="3384EBFB" w14:textId="77777777" w:rsidR="00541EAF" w:rsidRPr="00343A00" w:rsidRDefault="00B51A94"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43A00">
        <w:rPr>
          <w:rStyle w:val="Emphasis"/>
          <w:bdr w:val="single" w:sz="4" w:space="0" w:color="auto"/>
          <w:shd w:val="clear" w:color="auto" w:fill="FFFF00"/>
        </w:rPr>
        <w:t>Boxed text in yellow</w:t>
      </w:r>
      <w:r w:rsidRPr="00343A00">
        <w:rPr>
          <w:rStyle w:val="Emphasis"/>
        </w:rPr>
        <w:t xml:space="preserve"> states the underlying principle for this section. </w:t>
      </w:r>
    </w:p>
    <w:p w14:paraId="0D5DD9C6" w14:textId="3F9E2430" w:rsidR="00B51A94" w:rsidRPr="00993F59" w:rsidRDefault="00541EAF"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43A00">
        <w:rPr>
          <w:rStyle w:val="Emphasis"/>
          <w:bdr w:val="single" w:sz="4" w:space="0" w:color="auto"/>
          <w:shd w:val="clear" w:color="auto" w:fill="92D050"/>
        </w:rPr>
        <w:t>Boxed text in green</w:t>
      </w:r>
      <w:r w:rsidRPr="00343A00">
        <w:rPr>
          <w:rStyle w:val="Emphasis"/>
        </w:rPr>
        <w:t xml:space="preserve"> is specific to projects seeking to use a Public/Private Partnership (PPP) model.  This </w:t>
      </w:r>
      <w:r w:rsidR="00B51A94" w:rsidRPr="00343A00">
        <w:rPr>
          <w:rStyle w:val="Emphasis"/>
        </w:rPr>
        <w:t xml:space="preserve">text is adapted from the </w:t>
      </w:r>
      <w:r w:rsidRPr="00343A00">
        <w:rPr>
          <w:rStyle w:val="Emphasis"/>
        </w:rPr>
        <w:t xml:space="preserve">Infrastructure Commission Te Waihanga and from </w:t>
      </w:r>
      <w:r w:rsidR="00B51A94" w:rsidRPr="00343A00">
        <w:rPr>
          <w:rStyle w:val="Emphasis"/>
          <w:u w:val="single"/>
        </w:rPr>
        <w:t>Principles for infrastructure project preparation</w:t>
      </w:r>
      <w:r w:rsidR="00B51A94" w:rsidRPr="00343A00">
        <w:rPr>
          <w:rStyle w:val="Emphasis"/>
        </w:rPr>
        <w:t xml:space="preserve"> from the G20, which adopted the 5-case model as an international standard for infrastructure business cases in</w:t>
      </w:r>
      <w:r w:rsidR="00AB1C60" w:rsidRPr="00343A00">
        <w:rPr>
          <w:rStyle w:val="Emphasis"/>
        </w:rPr>
        <w:t xml:space="preserve"> </w:t>
      </w:r>
      <w:r w:rsidR="00B51A94" w:rsidRPr="00993F59">
        <w:rPr>
          <w:rStyle w:val="Emphasis"/>
        </w:rPr>
        <w:t>2018.</w:t>
      </w:r>
      <w:r w:rsidR="00B51A94" w:rsidRPr="00993F59">
        <w:rPr>
          <w:rStyle w:val="FootnoteReference"/>
          <w:i/>
          <w:iCs/>
          <w:color w:val="1F4E79"/>
          <w:sz w:val="20"/>
          <w:vertAlign w:val="superscript"/>
        </w:rPr>
        <w:footnoteReference w:id="2"/>
      </w:r>
    </w:p>
    <w:p w14:paraId="64782F62" w14:textId="77777777" w:rsidR="00B51A94" w:rsidRPr="00343A00" w:rsidRDefault="00B51A94"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993F59">
        <w:rPr>
          <w:rStyle w:val="Emphasis"/>
          <w:highlight w:val="yellow"/>
          <w:shd w:val="clear" w:color="auto" w:fill="FFFF00"/>
        </w:rPr>
        <w:t>Text highlighted in yellow</w:t>
      </w:r>
      <w:r w:rsidRPr="00343A00">
        <w:rPr>
          <w:rStyle w:val="Emphasis"/>
        </w:rPr>
        <w:t xml:space="preserve"> should be updated (for example, dates, </w:t>
      </w:r>
      <w:proofErr w:type="gramStart"/>
      <w:r w:rsidRPr="00343A00">
        <w:rPr>
          <w:rStyle w:val="Emphasis"/>
        </w:rPr>
        <w:t>table</w:t>
      </w:r>
      <w:proofErr w:type="gramEnd"/>
      <w:r w:rsidRPr="00343A00">
        <w:rPr>
          <w:rStyle w:val="Emphasis"/>
        </w:rPr>
        <w:t xml:space="preserve"> numbers).</w:t>
      </w:r>
    </w:p>
    <w:p w14:paraId="71BEB41D" w14:textId="77777777" w:rsidR="00B51A94" w:rsidRPr="00343A00" w:rsidRDefault="009343E3" w:rsidP="00343A00">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43A00">
        <w:rPr>
          <w:rStyle w:val="Emphasis"/>
          <w:b/>
        </w:rPr>
        <w:t>Guidance:</w:t>
      </w:r>
      <w:r w:rsidRPr="00343A00">
        <w:rPr>
          <w:rStyle w:val="Emphasis"/>
        </w:rPr>
        <w:t xml:space="preserve"> </w:t>
      </w:r>
      <w:r w:rsidR="00B51A94" w:rsidRPr="00343A00">
        <w:rPr>
          <w:rStyle w:val="Emphasis"/>
        </w:rPr>
        <w:t>The second part of this document provides more detailed guidance for each section if required, and is accessed by links from each section in the template (</w:t>
      </w:r>
      <w:hyperlink w:anchor="_Better_Business_CasesTM" w:history="1">
        <w:r w:rsidR="00B51A94" w:rsidRPr="00343A00">
          <w:rPr>
            <w:rStyle w:val="Emphasis"/>
            <w:i w:val="0"/>
            <w:u w:val="single"/>
          </w:rPr>
          <w:t>&lt;go to guidance&gt;</w:t>
        </w:r>
      </w:hyperlink>
      <w:r w:rsidR="00B51A94" w:rsidRPr="00343A00">
        <w:rPr>
          <w:rStyle w:val="Emphasis"/>
        </w:rPr>
        <w:t>).</w:t>
      </w:r>
    </w:p>
    <w:p w14:paraId="3C10C3DB" w14:textId="77777777" w:rsidR="000A6487" w:rsidRDefault="000915F7" w:rsidP="006E4FDB">
      <w:pPr>
        <w:pStyle w:val="Heading1"/>
      </w:pPr>
      <w:bookmarkStart w:id="48" w:name="_Toc50548994"/>
      <w:bookmarkEnd w:id="37"/>
      <w:bookmarkEnd w:id="38"/>
      <w:bookmarkEnd w:id="39"/>
      <w:bookmarkEnd w:id="40"/>
      <w:bookmarkEnd w:id="41"/>
      <w:bookmarkEnd w:id="47"/>
      <w:r w:rsidRPr="00414BEF">
        <w:lastRenderedPageBreak/>
        <w:t>Executive</w:t>
      </w:r>
      <w:r w:rsidRPr="00D17BFC">
        <w:t xml:space="preserve"> Summary</w:t>
      </w:r>
      <w:bookmarkEnd w:id="48"/>
    </w:p>
    <w:p w14:paraId="179A2A57" w14:textId="77777777" w:rsidR="00CD38D1" w:rsidRDefault="00DB4A5A" w:rsidP="00DB4A5A">
      <w:pPr>
        <w:pBdr>
          <w:top w:val="single" w:sz="4" w:space="4" w:color="auto"/>
          <w:left w:val="single" w:sz="4" w:space="4" w:color="auto"/>
          <w:bottom w:val="single" w:sz="4" w:space="8" w:color="auto"/>
          <w:right w:val="single" w:sz="4" w:space="4" w:color="auto"/>
        </w:pBdr>
        <w:shd w:val="clear" w:color="auto" w:fill="FFFF00"/>
        <w:spacing w:line="260" w:lineRule="atLeast"/>
        <w:rPr>
          <w:rStyle w:val="Emphasis"/>
          <w:i w:val="0"/>
          <w:color w:val="000000"/>
        </w:rPr>
      </w:pPr>
      <w:r w:rsidRPr="00DB4A5A">
        <w:rPr>
          <w:rStyle w:val="Emphasis"/>
          <w:i w:val="0"/>
          <w:color w:val="000000"/>
        </w:rPr>
        <w:t xml:space="preserve">For smaller low-risk projects an expanded executive summary </w:t>
      </w:r>
      <w:r>
        <w:rPr>
          <w:rStyle w:val="Emphasis"/>
          <w:i w:val="0"/>
          <w:color w:val="000000"/>
        </w:rPr>
        <w:t xml:space="preserve">and annexes </w:t>
      </w:r>
      <w:r w:rsidRPr="00DB4A5A">
        <w:rPr>
          <w:rStyle w:val="Emphasis"/>
          <w:i w:val="0"/>
          <w:color w:val="000000"/>
        </w:rPr>
        <w:t>may be sufficient to gain approval to proceed.</w:t>
      </w:r>
    </w:p>
    <w:p w14:paraId="1056FC76" w14:textId="1041B3C6" w:rsidR="00DB4A5A" w:rsidRPr="00DB4A5A" w:rsidRDefault="00014CB6" w:rsidP="00DB4A5A">
      <w:pPr>
        <w:pBdr>
          <w:top w:val="single" w:sz="4" w:space="4" w:color="auto"/>
          <w:left w:val="single" w:sz="4" w:space="4" w:color="auto"/>
          <w:bottom w:val="single" w:sz="4" w:space="8" w:color="auto"/>
          <w:right w:val="single" w:sz="4" w:space="4" w:color="auto"/>
        </w:pBdr>
        <w:shd w:val="clear" w:color="auto" w:fill="FFFF00"/>
        <w:spacing w:line="260" w:lineRule="atLeast"/>
        <w:rPr>
          <w:rStyle w:val="Emphasis"/>
          <w:i w:val="0"/>
          <w:color w:val="000000"/>
        </w:rPr>
      </w:pPr>
      <w:r>
        <w:rPr>
          <w:rStyle w:val="Emphasis"/>
          <w:i w:val="0"/>
          <w:color w:val="000000"/>
        </w:rPr>
        <w:t xml:space="preserve">The Implementation Business Case </w:t>
      </w:r>
      <w:r w:rsidR="00D26FF5">
        <w:rPr>
          <w:rStyle w:val="Emphasis"/>
          <w:i w:val="0"/>
          <w:color w:val="000000"/>
        </w:rPr>
        <w:t>must</w:t>
      </w:r>
      <w:r>
        <w:rPr>
          <w:rStyle w:val="Emphasis"/>
          <w:i w:val="0"/>
          <w:color w:val="000000"/>
        </w:rPr>
        <w:t xml:space="preserve"> confirm that the </w:t>
      </w:r>
      <w:r w:rsidR="00485670">
        <w:rPr>
          <w:rStyle w:val="Emphasis"/>
          <w:i w:val="0"/>
          <w:color w:val="000000"/>
        </w:rPr>
        <w:t xml:space="preserve">previously </w:t>
      </w:r>
      <w:r>
        <w:rPr>
          <w:rStyle w:val="Emphasis"/>
          <w:i w:val="0"/>
          <w:color w:val="000000"/>
        </w:rPr>
        <w:t xml:space="preserve">approved business case </w:t>
      </w:r>
      <w:r w:rsidR="00485670">
        <w:rPr>
          <w:rStyle w:val="Emphasis"/>
          <w:i w:val="0"/>
          <w:color w:val="000000"/>
        </w:rPr>
        <w:t xml:space="preserve">(DBC/SSBC) </w:t>
      </w:r>
      <w:r>
        <w:rPr>
          <w:rStyle w:val="Emphasis"/>
          <w:i w:val="0"/>
          <w:color w:val="000000"/>
        </w:rPr>
        <w:t xml:space="preserve">still stands and that there is still a need for the investment in the timeframe proposed. </w:t>
      </w:r>
    </w:p>
    <w:p w14:paraId="741FFED3" w14:textId="63C4ED7E" w:rsidR="006C17A2" w:rsidRDefault="00A41A07" w:rsidP="00783D47">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b/>
        </w:rPr>
        <w:t>Complete</w:t>
      </w:r>
      <w:r w:rsidRPr="0011592E">
        <w:rPr>
          <w:rStyle w:val="Emphasis"/>
          <w:b/>
        </w:rPr>
        <w:t xml:space="preserve"> </w:t>
      </w:r>
      <w:r w:rsidR="00B50B74" w:rsidRPr="0011592E">
        <w:rPr>
          <w:rStyle w:val="Emphasis"/>
          <w:b/>
        </w:rPr>
        <w:t>this last, and keep it short</w:t>
      </w:r>
      <w:r>
        <w:rPr>
          <w:rStyle w:val="Emphasis"/>
          <w:b/>
        </w:rPr>
        <w:t>.</w:t>
      </w:r>
      <w:r w:rsidR="00B50B74">
        <w:rPr>
          <w:rStyle w:val="Emphasis"/>
        </w:rPr>
        <w:t xml:space="preserve">  </w:t>
      </w:r>
      <w:r>
        <w:rPr>
          <w:rStyle w:val="Emphasis"/>
        </w:rPr>
        <w:t xml:space="preserve">Most of the information should be cut-and-paste or summarised from the 5-case sections of the document. </w:t>
      </w:r>
      <w:r w:rsidR="00B50B74" w:rsidRPr="000915F7">
        <w:rPr>
          <w:rStyle w:val="Emphasis"/>
        </w:rPr>
        <w:t xml:space="preserve">The executive summary should meet the needs of </w:t>
      </w:r>
      <w:r w:rsidR="00B50B74">
        <w:rPr>
          <w:rStyle w:val="Emphasis"/>
        </w:rPr>
        <w:t>decision-makers</w:t>
      </w:r>
      <w:r w:rsidR="00B50B74" w:rsidRPr="000915F7">
        <w:rPr>
          <w:rStyle w:val="Emphasis"/>
        </w:rPr>
        <w:t xml:space="preserve"> by setting out the key aspects of the business case in a </w:t>
      </w:r>
      <w:r w:rsidR="00B50B74" w:rsidRPr="007E61D8">
        <w:rPr>
          <w:rStyle w:val="Emphasis"/>
          <w:u w:val="single"/>
        </w:rPr>
        <w:t>concise and accessible</w:t>
      </w:r>
      <w:r w:rsidR="00B50B74" w:rsidRPr="000915F7">
        <w:rPr>
          <w:rStyle w:val="Emphasis"/>
        </w:rPr>
        <w:t xml:space="preserve"> form.</w:t>
      </w:r>
      <w:r w:rsidR="00B50B74">
        <w:rPr>
          <w:rStyle w:val="Emphasis"/>
        </w:rPr>
        <w:t xml:space="preserve"> </w:t>
      </w:r>
      <w:r w:rsidR="00B053F1">
        <w:rPr>
          <w:rStyle w:val="Emphasis"/>
        </w:rPr>
        <w:t xml:space="preserve"> </w:t>
      </w:r>
      <w:r w:rsidR="006C17A2">
        <w:rPr>
          <w:rStyle w:val="Emphasis"/>
        </w:rPr>
        <w:t>State clearly what decision-makers are being asked to decide.</w:t>
      </w:r>
    </w:p>
    <w:p w14:paraId="0A7FDB31" w14:textId="77777777" w:rsidR="00B50B74" w:rsidRPr="009753AF" w:rsidRDefault="00B50B74" w:rsidP="00783D47">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0915F7">
        <w:rPr>
          <w:rStyle w:val="Emphasis"/>
        </w:rPr>
        <w:t>Structure the summary to follow the five-case model</w:t>
      </w:r>
      <w:r>
        <w:rPr>
          <w:rStyle w:val="Emphasis"/>
        </w:rPr>
        <w:t>, to allow better comparison between business cases</w:t>
      </w:r>
      <w:r w:rsidRPr="000915F7">
        <w:rPr>
          <w:rStyle w:val="Emphasis"/>
        </w:rPr>
        <w:t xml:space="preserve">. </w:t>
      </w:r>
      <w:r w:rsidR="00D47DB3">
        <w:rPr>
          <w:rStyle w:val="Emphasis"/>
        </w:rPr>
        <w:t xml:space="preserve"> </w:t>
      </w:r>
      <w:r w:rsidRPr="000915F7">
        <w:rPr>
          <w:rStyle w:val="Emphasis"/>
        </w:rPr>
        <w:t xml:space="preserve">The executive summary can be </w:t>
      </w:r>
      <w:r w:rsidRPr="000D1633">
        <w:rPr>
          <w:rStyle w:val="Emphasis"/>
        </w:rPr>
        <w:t xml:space="preserve">the basis for other </w:t>
      </w:r>
      <w:r w:rsidR="006C17A2">
        <w:rPr>
          <w:rStyle w:val="Emphasis"/>
        </w:rPr>
        <w:t>stakeholder communication</w:t>
      </w:r>
      <w:r w:rsidRPr="000D1633">
        <w:rPr>
          <w:rStyle w:val="Emphasis"/>
        </w:rPr>
        <w:t>s</w:t>
      </w:r>
      <w:r w:rsidR="00A62DED">
        <w:rPr>
          <w:rStyle w:val="Emphasis"/>
        </w:rPr>
        <w:t xml:space="preserve"> </w:t>
      </w:r>
      <w:r w:rsidR="00C625DA">
        <w:rPr>
          <w:rStyle w:val="Emphasis"/>
        </w:rPr>
        <w:t xml:space="preserve">after removing any </w:t>
      </w:r>
      <w:r w:rsidR="00C625DA" w:rsidRPr="000D1633">
        <w:rPr>
          <w:rStyle w:val="Emphasis"/>
        </w:rPr>
        <w:t>sensitive</w:t>
      </w:r>
      <w:r w:rsidR="00C625DA">
        <w:rPr>
          <w:rStyle w:val="Emphasis"/>
        </w:rPr>
        <w:t xml:space="preserve"> </w:t>
      </w:r>
      <w:r w:rsidRPr="000D1633">
        <w:rPr>
          <w:rStyle w:val="Emphasis"/>
        </w:rPr>
        <w:t>c</w:t>
      </w:r>
      <w:bookmarkStart w:id="49" w:name="_GoBack"/>
      <w:bookmarkEnd w:id="49"/>
      <w:r w:rsidRPr="000D1633">
        <w:rPr>
          <w:rStyle w:val="Emphasis"/>
        </w:rPr>
        <w:t>ommercial</w:t>
      </w:r>
      <w:r>
        <w:rPr>
          <w:rStyle w:val="Emphasis"/>
        </w:rPr>
        <w:t xml:space="preserve"> </w:t>
      </w:r>
      <w:r w:rsidR="00C625DA">
        <w:rPr>
          <w:rStyle w:val="Emphasis"/>
        </w:rPr>
        <w:t>information</w:t>
      </w:r>
      <w:r>
        <w:rPr>
          <w:rStyle w:val="Emphasis"/>
        </w:rPr>
        <w:t>.</w:t>
      </w:r>
    </w:p>
    <w:p w14:paraId="6608A810" w14:textId="306132F4" w:rsidR="004C212F" w:rsidRPr="006E42F9" w:rsidRDefault="004C212F" w:rsidP="003D5AF3">
      <w:pPr>
        <w:spacing w:after="80" w:line="260" w:lineRule="atLeast"/>
        <w:rPr>
          <w:color w:val="000000"/>
          <w:szCs w:val="22"/>
        </w:rPr>
      </w:pPr>
      <w:r w:rsidRPr="006E42F9">
        <w:rPr>
          <w:color w:val="000000"/>
          <w:szCs w:val="22"/>
        </w:rPr>
        <w:t xml:space="preserve">This </w:t>
      </w:r>
      <w:r w:rsidR="00484660" w:rsidRPr="006E42F9">
        <w:rPr>
          <w:color w:val="000000"/>
          <w:szCs w:val="22"/>
        </w:rPr>
        <w:t>Implementation B</w:t>
      </w:r>
      <w:r w:rsidRPr="006E42F9">
        <w:rPr>
          <w:color w:val="000000"/>
          <w:szCs w:val="22"/>
        </w:rPr>
        <w:t xml:space="preserve">usiness </w:t>
      </w:r>
      <w:r w:rsidR="00484660" w:rsidRPr="006E42F9">
        <w:rPr>
          <w:color w:val="000000"/>
          <w:szCs w:val="22"/>
        </w:rPr>
        <w:t>C</w:t>
      </w:r>
      <w:r w:rsidRPr="006E42F9">
        <w:rPr>
          <w:color w:val="000000"/>
          <w:szCs w:val="22"/>
        </w:rPr>
        <w:t xml:space="preserve">ase seeks formal approval </w:t>
      </w:r>
      <w:r w:rsidR="009D7B41" w:rsidRPr="006E42F9">
        <w:rPr>
          <w:szCs w:val="22"/>
        </w:rPr>
        <w:t xml:space="preserve">from </w:t>
      </w:r>
      <w:r w:rsidR="009D7B41" w:rsidRPr="006E42F9">
        <w:rPr>
          <w:szCs w:val="22"/>
          <w:highlight w:val="yellow"/>
        </w:rPr>
        <w:t>[name of body</w:t>
      </w:r>
      <w:r w:rsidR="00823377" w:rsidRPr="006E42F9">
        <w:rPr>
          <w:szCs w:val="22"/>
          <w:highlight w:val="yellow"/>
        </w:rPr>
        <w:t>/joint ministers</w:t>
      </w:r>
      <w:r w:rsidR="009D7B41" w:rsidRPr="006E42F9">
        <w:rPr>
          <w:szCs w:val="22"/>
          <w:highlight w:val="yellow"/>
        </w:rPr>
        <w:t>]</w:t>
      </w:r>
      <w:r w:rsidR="009D7B41" w:rsidRPr="006E42F9">
        <w:rPr>
          <w:szCs w:val="22"/>
        </w:rPr>
        <w:t xml:space="preserve"> </w:t>
      </w:r>
      <w:r w:rsidRPr="006E42F9">
        <w:rPr>
          <w:color w:val="000000"/>
          <w:szCs w:val="22"/>
        </w:rPr>
        <w:t>to:</w:t>
      </w:r>
    </w:p>
    <w:p w14:paraId="75244FAA" w14:textId="6F4474CB" w:rsidR="004C212F" w:rsidRPr="006E42F9" w:rsidRDefault="004C212F" w:rsidP="006E42F9">
      <w:pPr>
        <w:numPr>
          <w:ilvl w:val="0"/>
          <w:numId w:val="16"/>
        </w:numPr>
        <w:spacing w:line="260" w:lineRule="atLeast"/>
        <w:ind w:left="425" w:hanging="425"/>
        <w:rPr>
          <w:color w:val="000000"/>
          <w:szCs w:val="22"/>
        </w:rPr>
      </w:pPr>
      <w:r w:rsidRPr="006E42F9">
        <w:rPr>
          <w:rStyle w:val="Emphasis"/>
          <w:i w:val="0"/>
          <w:sz w:val="22"/>
          <w:szCs w:val="22"/>
        </w:rPr>
        <w:t xml:space="preserve">Invest up to </w:t>
      </w:r>
      <w:r w:rsidRPr="006E42F9">
        <w:rPr>
          <w:color w:val="000000"/>
          <w:szCs w:val="22"/>
        </w:rPr>
        <w:t>$</w:t>
      </w:r>
      <w:r w:rsidRPr="006E42F9">
        <w:rPr>
          <w:szCs w:val="22"/>
          <w:highlight w:val="yellow"/>
        </w:rPr>
        <w:t>xxx</w:t>
      </w:r>
      <w:r w:rsidRPr="006E42F9">
        <w:rPr>
          <w:color w:val="000000"/>
          <w:szCs w:val="22"/>
        </w:rPr>
        <w:t xml:space="preserve"> million</w:t>
      </w:r>
      <w:r w:rsidR="00A8067D" w:rsidRPr="006E42F9">
        <w:rPr>
          <w:color w:val="000000"/>
          <w:szCs w:val="22"/>
        </w:rPr>
        <w:t xml:space="preserve"> (CAPEX) and $</w:t>
      </w:r>
      <w:r w:rsidR="00A8067D" w:rsidRPr="006E42F9">
        <w:rPr>
          <w:color w:val="000000"/>
          <w:szCs w:val="22"/>
          <w:highlight w:val="yellow"/>
        </w:rPr>
        <w:t>xxx</w:t>
      </w:r>
      <w:r w:rsidR="00A8067D" w:rsidRPr="006E42F9">
        <w:rPr>
          <w:color w:val="000000"/>
          <w:szCs w:val="22"/>
        </w:rPr>
        <w:t xml:space="preserve"> million (OPEX)</w:t>
      </w:r>
      <w:r w:rsidRPr="006E42F9">
        <w:rPr>
          <w:color w:val="000000"/>
          <w:szCs w:val="22"/>
        </w:rPr>
        <w:t xml:space="preserve"> from </w:t>
      </w:r>
      <w:r w:rsidRPr="006E42F9">
        <w:rPr>
          <w:color w:val="000000"/>
          <w:szCs w:val="22"/>
          <w:highlight w:val="yellow"/>
        </w:rPr>
        <w:t>20yy/</w:t>
      </w:r>
      <w:r w:rsidR="0003530F" w:rsidRPr="006E42F9">
        <w:rPr>
          <w:color w:val="000000"/>
          <w:szCs w:val="22"/>
          <w:highlight w:val="yellow"/>
        </w:rPr>
        <w:t>20</w:t>
      </w:r>
      <w:r w:rsidRPr="006E42F9">
        <w:rPr>
          <w:color w:val="000000"/>
          <w:szCs w:val="22"/>
          <w:highlight w:val="yellow"/>
        </w:rPr>
        <w:t>yy</w:t>
      </w:r>
      <w:r w:rsidRPr="006E42F9">
        <w:rPr>
          <w:color w:val="000000"/>
          <w:szCs w:val="22"/>
        </w:rPr>
        <w:t xml:space="preserve"> to </w:t>
      </w:r>
      <w:r w:rsidRPr="006E42F9">
        <w:rPr>
          <w:color w:val="000000"/>
          <w:szCs w:val="22"/>
          <w:highlight w:val="yellow"/>
        </w:rPr>
        <w:t>[20yy/</w:t>
      </w:r>
      <w:r w:rsidR="0003530F" w:rsidRPr="006E42F9">
        <w:rPr>
          <w:color w:val="000000"/>
          <w:szCs w:val="22"/>
          <w:highlight w:val="yellow"/>
        </w:rPr>
        <w:t>20</w:t>
      </w:r>
      <w:r w:rsidRPr="006E42F9">
        <w:rPr>
          <w:color w:val="000000"/>
          <w:szCs w:val="22"/>
          <w:highlight w:val="yellow"/>
        </w:rPr>
        <w:t>yy]</w:t>
      </w:r>
      <w:r w:rsidRPr="006E42F9">
        <w:rPr>
          <w:color w:val="000000"/>
          <w:szCs w:val="22"/>
        </w:rPr>
        <w:t xml:space="preserve">. This includes </w:t>
      </w:r>
      <w:r w:rsidR="00A6382F" w:rsidRPr="006E42F9">
        <w:rPr>
          <w:color w:val="000000"/>
          <w:szCs w:val="22"/>
        </w:rPr>
        <w:t>contingencies</w:t>
      </w:r>
      <w:r w:rsidRPr="006E42F9">
        <w:rPr>
          <w:color w:val="000000"/>
          <w:szCs w:val="22"/>
        </w:rPr>
        <w:t xml:space="preserve"> of $</w:t>
      </w:r>
      <w:r w:rsidRPr="006E42F9">
        <w:rPr>
          <w:color w:val="000000"/>
          <w:szCs w:val="22"/>
          <w:highlight w:val="yellow"/>
        </w:rPr>
        <w:t>x</w:t>
      </w:r>
      <w:r w:rsidR="0003530F" w:rsidRPr="006E42F9">
        <w:rPr>
          <w:color w:val="000000"/>
          <w:szCs w:val="22"/>
          <w:highlight w:val="yellow"/>
        </w:rPr>
        <w:t>x</w:t>
      </w:r>
      <w:r w:rsidRPr="006E42F9">
        <w:rPr>
          <w:color w:val="000000"/>
          <w:szCs w:val="22"/>
          <w:highlight w:val="yellow"/>
        </w:rPr>
        <w:t>x</w:t>
      </w:r>
      <w:r w:rsidR="0003530F" w:rsidRPr="006E42F9">
        <w:rPr>
          <w:color w:val="000000"/>
          <w:szCs w:val="22"/>
        </w:rPr>
        <w:t xml:space="preserve"> </w:t>
      </w:r>
      <w:r w:rsidR="00D47DB3" w:rsidRPr="006E42F9">
        <w:rPr>
          <w:color w:val="000000"/>
          <w:szCs w:val="22"/>
        </w:rPr>
        <w:t>m</w:t>
      </w:r>
      <w:r w:rsidR="0003530F" w:rsidRPr="006E42F9">
        <w:rPr>
          <w:color w:val="000000"/>
          <w:szCs w:val="22"/>
        </w:rPr>
        <w:t>illion</w:t>
      </w:r>
      <w:r w:rsidRPr="006E42F9">
        <w:rPr>
          <w:color w:val="000000"/>
          <w:szCs w:val="22"/>
        </w:rPr>
        <w:t xml:space="preserve">. </w:t>
      </w:r>
    </w:p>
    <w:p w14:paraId="0D113581" w14:textId="6DB2F77B" w:rsidR="00F00522" w:rsidRPr="006E42F9" w:rsidRDefault="009D7B41" w:rsidP="006E42F9">
      <w:pPr>
        <w:pStyle w:val="Numberedlistpara"/>
        <w:rPr>
          <w:color w:val="000000"/>
        </w:rPr>
      </w:pPr>
      <w:r w:rsidRPr="006E42F9">
        <w:t>I</w:t>
      </w:r>
      <w:r w:rsidR="00F00522" w:rsidRPr="006E42F9">
        <w:t xml:space="preserve">ncrease ongoing </w:t>
      </w:r>
      <w:r w:rsidRPr="006E42F9">
        <w:t xml:space="preserve">(baseline) </w:t>
      </w:r>
      <w:r w:rsidR="00F00522" w:rsidRPr="006E42F9">
        <w:t>operating expenses of $</w:t>
      </w:r>
      <w:r w:rsidR="00F00522" w:rsidRPr="006E42F9">
        <w:rPr>
          <w:highlight w:val="yellow"/>
        </w:rPr>
        <w:t>xxx</w:t>
      </w:r>
      <w:r w:rsidR="0003530F" w:rsidRPr="006E42F9">
        <w:t>000</w:t>
      </w:r>
      <w:r w:rsidR="00F00522" w:rsidRPr="006E42F9">
        <w:t xml:space="preserve"> per financial year, starting from </w:t>
      </w:r>
      <w:r w:rsidR="00D47DB3" w:rsidRPr="006E42F9">
        <w:rPr>
          <w:highlight w:val="yellow"/>
        </w:rPr>
        <w:t>M</w:t>
      </w:r>
      <w:r w:rsidR="00F00522" w:rsidRPr="006E42F9">
        <w:rPr>
          <w:highlight w:val="yellow"/>
        </w:rPr>
        <w:t>mm-</w:t>
      </w:r>
      <w:r w:rsidR="0003530F" w:rsidRPr="006E42F9">
        <w:rPr>
          <w:highlight w:val="yellow"/>
        </w:rPr>
        <w:t>20</w:t>
      </w:r>
      <w:r w:rsidR="0003530F" w:rsidRPr="006E42F9">
        <w:t>YY</w:t>
      </w:r>
    </w:p>
    <w:p w14:paraId="683E5C5E" w14:textId="439A7FE2" w:rsidR="004C212F" w:rsidRPr="006E42F9" w:rsidRDefault="004C212F" w:rsidP="006E42F9">
      <w:pPr>
        <w:numPr>
          <w:ilvl w:val="0"/>
          <w:numId w:val="16"/>
        </w:numPr>
        <w:spacing w:line="260" w:lineRule="atLeast"/>
        <w:ind w:left="425" w:hanging="425"/>
        <w:rPr>
          <w:color w:val="000000"/>
          <w:szCs w:val="22"/>
        </w:rPr>
      </w:pPr>
      <w:r w:rsidRPr="006E42F9">
        <w:rPr>
          <w:color w:val="000000"/>
          <w:szCs w:val="22"/>
        </w:rPr>
        <w:t>Fund this project</w:t>
      </w:r>
      <w:r w:rsidR="008C0150" w:rsidRPr="006E42F9">
        <w:rPr>
          <w:color w:val="000000"/>
          <w:szCs w:val="22"/>
        </w:rPr>
        <w:t>/tranche</w:t>
      </w:r>
      <w:r w:rsidRPr="006E42F9">
        <w:rPr>
          <w:color w:val="000000"/>
          <w:szCs w:val="22"/>
        </w:rPr>
        <w:t xml:space="preserve"> </w:t>
      </w:r>
      <w:r w:rsidR="000F151E" w:rsidRPr="006E42F9">
        <w:rPr>
          <w:color w:val="000000"/>
          <w:szCs w:val="22"/>
        </w:rPr>
        <w:t xml:space="preserve">from </w:t>
      </w:r>
      <w:r w:rsidR="000F151E" w:rsidRPr="006E42F9">
        <w:rPr>
          <w:color w:val="000000"/>
          <w:szCs w:val="22"/>
          <w:highlight w:val="yellow"/>
        </w:rPr>
        <w:t>…..</w:t>
      </w:r>
      <w:r w:rsidR="000F151E" w:rsidRPr="006E42F9">
        <w:rPr>
          <w:color w:val="000000"/>
          <w:szCs w:val="22"/>
        </w:rPr>
        <w:t xml:space="preserve">   </w:t>
      </w:r>
      <w:proofErr w:type="gramStart"/>
      <w:r w:rsidR="000F151E" w:rsidRPr="006E42F9">
        <w:rPr>
          <w:color w:val="000000"/>
          <w:szCs w:val="22"/>
        </w:rPr>
        <w:t>including</w:t>
      </w:r>
      <w:proofErr w:type="gramEnd"/>
      <w:r w:rsidRPr="006E42F9">
        <w:rPr>
          <w:color w:val="000000"/>
          <w:szCs w:val="22"/>
        </w:rPr>
        <w:t xml:space="preserve"> a draw-down from </w:t>
      </w:r>
      <w:r w:rsidR="00485670" w:rsidRPr="006E42F9">
        <w:rPr>
          <w:color w:val="000000"/>
          <w:szCs w:val="22"/>
          <w:highlight w:val="yellow"/>
        </w:rPr>
        <w:t>……</w:t>
      </w:r>
      <w:r w:rsidRPr="006E42F9">
        <w:rPr>
          <w:color w:val="000000"/>
          <w:szCs w:val="22"/>
        </w:rPr>
        <w:t xml:space="preserve"> of ….</w:t>
      </w:r>
    </w:p>
    <w:p w14:paraId="3B6A7F6E" w14:textId="77777777" w:rsidR="004C212F" w:rsidRPr="006E42F9" w:rsidRDefault="004C212F" w:rsidP="006E42F9">
      <w:pPr>
        <w:numPr>
          <w:ilvl w:val="0"/>
          <w:numId w:val="16"/>
        </w:numPr>
        <w:spacing w:line="260" w:lineRule="atLeast"/>
        <w:ind w:left="425" w:hanging="425"/>
        <w:rPr>
          <w:rStyle w:val="Emphasis"/>
          <w:i w:val="0"/>
          <w:iCs w:val="0"/>
          <w:color w:val="000000"/>
          <w:sz w:val="22"/>
          <w:szCs w:val="22"/>
        </w:rPr>
      </w:pPr>
      <w:r w:rsidRPr="006E42F9">
        <w:rPr>
          <w:rStyle w:val="Emphasis"/>
          <w:i w:val="0"/>
          <w:sz w:val="22"/>
          <w:szCs w:val="22"/>
        </w:rPr>
        <w:t>Finalise contracts</w:t>
      </w:r>
      <w:r w:rsidR="000869BC" w:rsidRPr="006E42F9">
        <w:rPr>
          <w:rStyle w:val="Emphasis"/>
          <w:i w:val="0"/>
          <w:sz w:val="22"/>
          <w:szCs w:val="22"/>
        </w:rPr>
        <w:t xml:space="preserve"> with the preferred supplier</w:t>
      </w:r>
      <w:r w:rsidR="00A8067D" w:rsidRPr="006E42F9">
        <w:rPr>
          <w:rStyle w:val="Emphasis"/>
          <w:i w:val="0"/>
          <w:sz w:val="22"/>
          <w:szCs w:val="22"/>
        </w:rPr>
        <w:t>(</w:t>
      </w:r>
      <w:r w:rsidR="000869BC" w:rsidRPr="006E42F9">
        <w:rPr>
          <w:rStyle w:val="Emphasis"/>
          <w:i w:val="0"/>
          <w:sz w:val="22"/>
          <w:szCs w:val="22"/>
        </w:rPr>
        <w:t>s</w:t>
      </w:r>
      <w:r w:rsidR="00A8067D" w:rsidRPr="006E42F9">
        <w:rPr>
          <w:rStyle w:val="Emphasis"/>
          <w:i w:val="0"/>
          <w:sz w:val="22"/>
          <w:szCs w:val="22"/>
        </w:rPr>
        <w:t>)</w:t>
      </w:r>
      <w:r w:rsidRPr="006E42F9">
        <w:rPr>
          <w:rStyle w:val="Emphasis"/>
          <w:i w:val="0"/>
          <w:sz w:val="22"/>
          <w:szCs w:val="22"/>
        </w:rPr>
        <w:t xml:space="preserve"> to ….</w:t>
      </w:r>
    </w:p>
    <w:p w14:paraId="7FA76D68" w14:textId="77777777" w:rsidR="004C212F" w:rsidRPr="006E42F9" w:rsidRDefault="000869BC" w:rsidP="006E42F9">
      <w:pPr>
        <w:numPr>
          <w:ilvl w:val="0"/>
          <w:numId w:val="16"/>
        </w:numPr>
        <w:spacing w:line="260" w:lineRule="atLeast"/>
        <w:ind w:left="425" w:hanging="425"/>
        <w:rPr>
          <w:color w:val="000000"/>
          <w:szCs w:val="22"/>
        </w:rPr>
      </w:pPr>
      <w:r w:rsidRPr="006E42F9">
        <w:rPr>
          <w:szCs w:val="22"/>
        </w:rPr>
        <w:t>Proceed to d</w:t>
      </w:r>
      <w:r w:rsidRPr="006E42F9">
        <w:rPr>
          <w:color w:val="000000"/>
          <w:szCs w:val="22"/>
        </w:rPr>
        <w:t xml:space="preserve">eliver the proposed </w:t>
      </w:r>
      <w:r w:rsidRPr="006E42F9">
        <w:rPr>
          <w:color w:val="000000"/>
          <w:szCs w:val="22"/>
          <w:highlight w:val="yellow"/>
        </w:rPr>
        <w:t>project</w:t>
      </w:r>
      <w:r w:rsidR="008C0150" w:rsidRPr="006E42F9">
        <w:rPr>
          <w:color w:val="000000"/>
          <w:szCs w:val="22"/>
          <w:highlight w:val="yellow"/>
        </w:rPr>
        <w:t>/tranche</w:t>
      </w:r>
      <w:r w:rsidRPr="006E42F9">
        <w:rPr>
          <w:color w:val="000000"/>
          <w:szCs w:val="22"/>
        </w:rPr>
        <w:t xml:space="preserve"> to</w:t>
      </w:r>
      <w:r w:rsidR="004C212F" w:rsidRPr="006E42F9">
        <w:rPr>
          <w:color w:val="000000"/>
          <w:szCs w:val="22"/>
        </w:rPr>
        <w:t xml:space="preserve"> implement</w:t>
      </w:r>
      <w:r w:rsidRPr="006E42F9">
        <w:rPr>
          <w:color w:val="000000"/>
          <w:szCs w:val="22"/>
        </w:rPr>
        <w:t xml:space="preserve"> and commission the </w:t>
      </w:r>
      <w:r w:rsidR="00482DE0" w:rsidRPr="006E42F9">
        <w:rPr>
          <w:color w:val="000000"/>
          <w:szCs w:val="22"/>
        </w:rPr>
        <w:t>solution (</w:t>
      </w:r>
      <w:r w:rsidR="00FF422E" w:rsidRPr="006E42F9">
        <w:rPr>
          <w:color w:val="000000"/>
          <w:szCs w:val="22"/>
        </w:rPr>
        <w:t>Preferred Option</w:t>
      </w:r>
      <w:r w:rsidR="00482DE0" w:rsidRPr="006E42F9">
        <w:rPr>
          <w:color w:val="000000"/>
          <w:szCs w:val="22"/>
        </w:rPr>
        <w:t>)</w:t>
      </w:r>
      <w:r w:rsidR="004C212F" w:rsidRPr="006E42F9">
        <w:rPr>
          <w:color w:val="000000"/>
          <w:szCs w:val="22"/>
        </w:rPr>
        <w:t>.</w:t>
      </w:r>
    </w:p>
    <w:p w14:paraId="551D35CD" w14:textId="77777777" w:rsidR="00974F4B" w:rsidRDefault="00974F4B" w:rsidP="006E4FDB">
      <w:pPr>
        <w:pStyle w:val="Heading2"/>
      </w:pPr>
      <w:bookmarkStart w:id="50" w:name="_Toc25746755"/>
      <w:bookmarkStart w:id="51" w:name="_Toc31266881"/>
      <w:r w:rsidRPr="00D17BFC">
        <w:t>Introduction</w:t>
      </w:r>
      <w:bookmarkEnd w:id="50"/>
      <w:bookmarkEnd w:id="51"/>
    </w:p>
    <w:p w14:paraId="5CA5DF99" w14:textId="77777777" w:rsidR="009B3F33" w:rsidRDefault="009B3F33" w:rsidP="003D5AF3">
      <w:pPr>
        <w:spacing w:line="260" w:lineRule="atLeast"/>
        <w:rPr>
          <w:color w:val="000000"/>
        </w:rPr>
      </w:pPr>
      <w:r w:rsidRPr="00935E1D">
        <w:rPr>
          <w:color w:val="000000"/>
        </w:rPr>
        <w:t>The</w:t>
      </w:r>
      <w:r>
        <w:rPr>
          <w:color w:val="000000"/>
        </w:rPr>
        <w:t xml:space="preserve"> purpose of this</w:t>
      </w:r>
      <w:r w:rsidRPr="00935E1D">
        <w:rPr>
          <w:color w:val="000000"/>
        </w:rPr>
        <w:t xml:space="preserve"> </w:t>
      </w:r>
      <w:r>
        <w:rPr>
          <w:color w:val="000000"/>
        </w:rPr>
        <w:t>business c</w:t>
      </w:r>
      <w:r w:rsidRPr="00935E1D">
        <w:rPr>
          <w:color w:val="000000"/>
        </w:rPr>
        <w:t xml:space="preserve">ase </w:t>
      </w:r>
      <w:r>
        <w:rPr>
          <w:color w:val="000000"/>
        </w:rPr>
        <w:t xml:space="preserve">is to </w:t>
      </w:r>
      <w:r w:rsidRPr="00935E1D">
        <w:rPr>
          <w:color w:val="000000"/>
        </w:rPr>
        <w:t>reco</w:t>
      </w:r>
      <w:r>
        <w:rPr>
          <w:color w:val="000000"/>
        </w:rPr>
        <w:t>mmend</w:t>
      </w:r>
      <w:r w:rsidRPr="00935E1D">
        <w:rPr>
          <w:color w:val="000000"/>
        </w:rPr>
        <w:t xml:space="preserve"> the preferred supplier</w:t>
      </w:r>
      <w:r>
        <w:rPr>
          <w:color w:val="000000"/>
        </w:rPr>
        <w:t>(</w:t>
      </w:r>
      <w:r w:rsidRPr="00935E1D">
        <w:rPr>
          <w:color w:val="000000"/>
        </w:rPr>
        <w:t>s</w:t>
      </w:r>
      <w:r>
        <w:rPr>
          <w:color w:val="000000"/>
        </w:rPr>
        <w:t>)</w:t>
      </w:r>
      <w:r w:rsidRPr="00935E1D">
        <w:rPr>
          <w:color w:val="000000"/>
        </w:rPr>
        <w:t xml:space="preserve"> fo</w:t>
      </w:r>
      <w:r>
        <w:rPr>
          <w:color w:val="000000"/>
        </w:rPr>
        <w:t>r the Preferred Option, confirm the five cases for the proposed investment, and seek</w:t>
      </w:r>
      <w:r w:rsidRPr="00935E1D">
        <w:rPr>
          <w:color w:val="000000"/>
        </w:rPr>
        <w:t xml:space="preserve"> approval from decision-makers to enter into commercial contracts to deliver (implement) the </w:t>
      </w:r>
      <w:r w:rsidRPr="00D47DB3">
        <w:rPr>
          <w:color w:val="000000"/>
          <w:highlight w:val="yellow"/>
        </w:rPr>
        <w:t>project/tranche</w:t>
      </w:r>
      <w:r w:rsidRPr="00935E1D">
        <w:rPr>
          <w:color w:val="000000"/>
        </w:rPr>
        <w:t xml:space="preserve">. </w:t>
      </w:r>
    </w:p>
    <w:p w14:paraId="627FE086" w14:textId="77777777" w:rsidR="00B50B74" w:rsidRDefault="00482DE0" w:rsidP="006E42F9">
      <w:pPr>
        <w:pStyle w:val="ListParagraph"/>
        <w:numPr>
          <w:ilvl w:val="0"/>
          <w:numId w:val="0"/>
        </w:num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Briefly</w:t>
      </w:r>
      <w:r w:rsidR="00B50B74">
        <w:rPr>
          <w:rStyle w:val="Emphasis"/>
        </w:rPr>
        <w:t xml:space="preserve"> describe the investment proposal</w:t>
      </w:r>
      <w:r w:rsidR="00F11977">
        <w:rPr>
          <w:rStyle w:val="Emphasis"/>
        </w:rPr>
        <w:t xml:space="preserve"> </w:t>
      </w:r>
      <w:r w:rsidR="00B50B74">
        <w:rPr>
          <w:rStyle w:val="Emphasis"/>
        </w:rPr>
        <w:t xml:space="preserve">in </w:t>
      </w:r>
      <w:r w:rsidR="00190579">
        <w:rPr>
          <w:rStyle w:val="Emphasis"/>
        </w:rPr>
        <w:t>2-3</w:t>
      </w:r>
      <w:r w:rsidR="009343E3">
        <w:rPr>
          <w:rStyle w:val="Emphasis"/>
        </w:rPr>
        <w:t xml:space="preserve"> sentences:</w:t>
      </w:r>
      <w:r w:rsidR="00B50B74">
        <w:rPr>
          <w:rStyle w:val="Emphasis"/>
        </w:rPr>
        <w:t xml:space="preserve"> </w:t>
      </w:r>
    </w:p>
    <w:p w14:paraId="5ED55CC1" w14:textId="77777777" w:rsidR="000F151E" w:rsidRPr="003319A9" w:rsidRDefault="009343E3" w:rsidP="006E42F9">
      <w:pPr>
        <w:pStyle w:val="Boxbullet"/>
        <w:rPr>
          <w:rStyle w:val="Emphasis"/>
        </w:rPr>
      </w:pPr>
      <w:r>
        <w:rPr>
          <w:rStyle w:val="Emphasis"/>
        </w:rPr>
        <w:t>The</w:t>
      </w:r>
      <w:r w:rsidR="000F151E">
        <w:rPr>
          <w:rStyle w:val="Emphasis"/>
        </w:rPr>
        <w:t xml:space="preserve"> expected outcome</w:t>
      </w:r>
      <w:r w:rsidR="009B3F33">
        <w:rPr>
          <w:rStyle w:val="Emphasis"/>
        </w:rPr>
        <w:t>s</w:t>
      </w:r>
      <w:r w:rsidR="000F151E">
        <w:rPr>
          <w:rStyle w:val="Emphasis"/>
        </w:rPr>
        <w:t xml:space="preserve"> and what will be delivered</w:t>
      </w:r>
      <w:r w:rsidR="004D4893">
        <w:rPr>
          <w:rStyle w:val="Emphasis"/>
        </w:rPr>
        <w:t>,</w:t>
      </w:r>
      <w:r w:rsidR="000F151E">
        <w:rPr>
          <w:rStyle w:val="Emphasis"/>
        </w:rPr>
        <w:t xml:space="preserve"> </w:t>
      </w:r>
      <w:r w:rsidR="00B26C93">
        <w:rPr>
          <w:rStyle w:val="Emphasis"/>
        </w:rPr>
        <w:t>in broad terms</w:t>
      </w:r>
    </w:p>
    <w:p w14:paraId="3A543D6B" w14:textId="77777777" w:rsidR="004D4893" w:rsidRDefault="009343E3" w:rsidP="006E42F9">
      <w:pPr>
        <w:pStyle w:val="Boxbullet"/>
        <w:rPr>
          <w:rStyle w:val="Emphasis"/>
        </w:rPr>
      </w:pPr>
      <w:r w:rsidRPr="005C686A">
        <w:rPr>
          <w:rStyle w:val="Emphasis"/>
        </w:rPr>
        <w:t>The</w:t>
      </w:r>
      <w:r w:rsidR="00B26C93" w:rsidRPr="005C686A">
        <w:rPr>
          <w:rStyle w:val="Emphasis"/>
        </w:rPr>
        <w:t xml:space="preserve"> key</w:t>
      </w:r>
      <w:r w:rsidR="00C625DA" w:rsidRPr="005C686A">
        <w:rPr>
          <w:rStyle w:val="Emphasis"/>
        </w:rPr>
        <w:t xml:space="preserve"> driver for the investment</w:t>
      </w:r>
      <w:r w:rsidRPr="005C686A">
        <w:rPr>
          <w:rStyle w:val="Emphasis"/>
        </w:rPr>
        <w:t xml:space="preserve"> </w:t>
      </w:r>
    </w:p>
    <w:p w14:paraId="4CC4FB86" w14:textId="77777777" w:rsidR="000F151E" w:rsidRPr="004D4893" w:rsidRDefault="00A57521" w:rsidP="006E42F9">
      <w:pPr>
        <w:pStyle w:val="Boxbullet"/>
        <w:rPr>
          <w:rStyle w:val="Emphasis"/>
        </w:rPr>
      </w:pPr>
      <w:r w:rsidRPr="005C686A">
        <w:rPr>
          <w:rStyle w:val="Emphasis"/>
        </w:rPr>
        <w:t xml:space="preserve">Why </w:t>
      </w:r>
      <w:r w:rsidR="00190579" w:rsidRPr="005C686A">
        <w:rPr>
          <w:rStyle w:val="Emphasis"/>
        </w:rPr>
        <w:t>a decision</w:t>
      </w:r>
      <w:r w:rsidRPr="005C686A">
        <w:rPr>
          <w:rStyle w:val="Emphasis"/>
        </w:rPr>
        <w:t xml:space="preserve"> is</w:t>
      </w:r>
      <w:r w:rsidR="00190579" w:rsidRPr="005C686A">
        <w:rPr>
          <w:rStyle w:val="Emphasis"/>
        </w:rPr>
        <w:t xml:space="preserve"> required now and how</w:t>
      </w:r>
      <w:r w:rsidR="000F151E" w:rsidRPr="005C686A">
        <w:rPr>
          <w:rStyle w:val="Emphasis"/>
        </w:rPr>
        <w:t xml:space="preserve"> this contribute</w:t>
      </w:r>
      <w:r w:rsidR="00190579" w:rsidRPr="004D4893">
        <w:rPr>
          <w:rStyle w:val="Emphasis"/>
        </w:rPr>
        <w:t>s to Government priorities</w:t>
      </w:r>
      <w:r w:rsidR="000F151E" w:rsidRPr="004D4893">
        <w:rPr>
          <w:rStyle w:val="Emphasis"/>
        </w:rPr>
        <w:t xml:space="preserve"> </w:t>
      </w:r>
    </w:p>
    <w:p w14:paraId="3BF232B9" w14:textId="37011CCF" w:rsidR="005C686A" w:rsidRPr="006E42F9" w:rsidRDefault="009343E3" w:rsidP="003D5AF3">
      <w:pPr>
        <w:spacing w:line="260" w:lineRule="atLeast"/>
        <w:rPr>
          <w:rStyle w:val="Emphasis"/>
          <w:iCs w:val="0"/>
          <w:color w:val="000000"/>
          <w:sz w:val="22"/>
          <w:szCs w:val="22"/>
        </w:rPr>
      </w:pPr>
      <w:r>
        <w:t xml:space="preserve">The key </w:t>
      </w:r>
      <w:r w:rsidRPr="00787A10">
        <w:rPr>
          <w:color w:val="000000"/>
        </w:rPr>
        <w:t>driver</w:t>
      </w:r>
      <w:r>
        <w:t xml:space="preserve"> for this </w:t>
      </w:r>
      <w:r w:rsidRPr="006E42F9">
        <w:rPr>
          <w:i/>
          <w:szCs w:val="22"/>
        </w:rPr>
        <w:t xml:space="preserve">investment is </w:t>
      </w:r>
      <w:r w:rsidR="005C686A" w:rsidRPr="006E42F9">
        <w:rPr>
          <w:rStyle w:val="Emphasis"/>
          <w:color w:val="0000FF"/>
          <w:sz w:val="22"/>
          <w:szCs w:val="22"/>
        </w:rPr>
        <w:t>(very simply) –</w:t>
      </w:r>
      <w:r w:rsidR="009C592A" w:rsidRPr="006E42F9">
        <w:rPr>
          <w:rStyle w:val="Emphasis"/>
          <w:color w:val="0000FF"/>
          <w:sz w:val="22"/>
          <w:szCs w:val="22"/>
        </w:rPr>
        <w:t xml:space="preserve"> </w:t>
      </w:r>
      <w:r w:rsidR="004D4893" w:rsidRPr="006E42F9">
        <w:rPr>
          <w:rStyle w:val="Emphasis"/>
          <w:color w:val="0000FF"/>
          <w:sz w:val="22"/>
          <w:szCs w:val="22"/>
        </w:rPr>
        <w:t>priority-aligning (name the priority)</w:t>
      </w:r>
      <w:r w:rsidR="009C592A" w:rsidRPr="006E42F9">
        <w:rPr>
          <w:rStyle w:val="Emphasis"/>
          <w:color w:val="0000FF"/>
          <w:sz w:val="22"/>
          <w:szCs w:val="22"/>
        </w:rPr>
        <w:t>;</w:t>
      </w:r>
      <w:r w:rsidR="004D4893" w:rsidRPr="006E42F9">
        <w:rPr>
          <w:rStyle w:val="Emphasis"/>
          <w:color w:val="0000FF"/>
          <w:sz w:val="22"/>
          <w:szCs w:val="22"/>
        </w:rPr>
        <w:t xml:space="preserve"> non-discretionary cost pressure</w:t>
      </w:r>
      <w:r w:rsidR="009073E7" w:rsidRPr="006E42F9">
        <w:rPr>
          <w:rStyle w:val="Emphasis"/>
          <w:color w:val="0000FF"/>
          <w:sz w:val="22"/>
          <w:szCs w:val="22"/>
        </w:rPr>
        <w:t>;</w:t>
      </w:r>
      <w:r w:rsidR="005C686A" w:rsidRPr="006E42F9">
        <w:rPr>
          <w:rStyle w:val="Emphasis"/>
          <w:color w:val="0000FF"/>
          <w:sz w:val="22"/>
          <w:szCs w:val="22"/>
        </w:rPr>
        <w:t xml:space="preserve"> mandatory/legislative requirement</w:t>
      </w:r>
      <w:r w:rsidR="009073E7" w:rsidRPr="006E42F9">
        <w:rPr>
          <w:rStyle w:val="Emphasis"/>
          <w:color w:val="0000FF"/>
          <w:sz w:val="22"/>
          <w:szCs w:val="22"/>
        </w:rPr>
        <w:t>;</w:t>
      </w:r>
      <w:r w:rsidR="005C686A" w:rsidRPr="006E42F9">
        <w:rPr>
          <w:rStyle w:val="Emphasis"/>
          <w:color w:val="0000FF"/>
          <w:sz w:val="22"/>
          <w:szCs w:val="22"/>
        </w:rPr>
        <w:t xml:space="preserve"> improve customer service</w:t>
      </w:r>
      <w:r w:rsidR="009073E7" w:rsidRPr="006E42F9">
        <w:rPr>
          <w:rStyle w:val="Emphasis"/>
          <w:color w:val="0000FF"/>
          <w:sz w:val="22"/>
          <w:szCs w:val="22"/>
        </w:rPr>
        <w:t xml:space="preserve">; </w:t>
      </w:r>
      <w:r w:rsidR="005C686A" w:rsidRPr="006E42F9">
        <w:rPr>
          <w:rStyle w:val="Emphasis"/>
          <w:color w:val="0000FF"/>
          <w:sz w:val="22"/>
          <w:szCs w:val="22"/>
        </w:rPr>
        <w:t>increase capacity</w:t>
      </w:r>
      <w:r w:rsidR="009073E7" w:rsidRPr="006E42F9">
        <w:rPr>
          <w:rStyle w:val="Emphasis"/>
          <w:color w:val="0000FF"/>
          <w:sz w:val="22"/>
          <w:szCs w:val="22"/>
        </w:rPr>
        <w:t>;</w:t>
      </w:r>
      <w:r w:rsidR="004D4893" w:rsidRPr="006E42F9">
        <w:rPr>
          <w:rStyle w:val="Emphasis"/>
          <w:color w:val="0000FF"/>
          <w:sz w:val="22"/>
          <w:szCs w:val="22"/>
        </w:rPr>
        <w:t xml:space="preserve"> regulatory initiative</w:t>
      </w:r>
      <w:r w:rsidR="009073E7" w:rsidRPr="006E42F9">
        <w:rPr>
          <w:rStyle w:val="Emphasis"/>
          <w:color w:val="0000FF"/>
          <w:sz w:val="22"/>
          <w:szCs w:val="22"/>
        </w:rPr>
        <w:t xml:space="preserve">. </w:t>
      </w:r>
      <w:r w:rsidR="009073E7" w:rsidRPr="006E42F9">
        <w:rPr>
          <w:rStyle w:val="Emphasis"/>
          <w:i w:val="0"/>
          <w:color w:val="000000"/>
          <w:sz w:val="22"/>
          <w:szCs w:val="22"/>
        </w:rPr>
        <w:t>The consequences of not taking action now are</w:t>
      </w:r>
      <w:r w:rsidR="006F0D20" w:rsidRPr="006E42F9">
        <w:rPr>
          <w:rStyle w:val="Emphasis"/>
          <w:i w:val="0"/>
          <w:color w:val="000000"/>
          <w:sz w:val="22"/>
          <w:szCs w:val="22"/>
        </w:rPr>
        <w:t xml:space="preserve"> </w:t>
      </w:r>
      <w:r w:rsidR="006F0D20" w:rsidRPr="006E42F9">
        <w:rPr>
          <w:rStyle w:val="Emphasis"/>
          <w:iCs w:val="0"/>
          <w:color w:val="0000FF"/>
          <w:sz w:val="22"/>
          <w:szCs w:val="22"/>
        </w:rPr>
        <w:t>describe</w:t>
      </w:r>
    </w:p>
    <w:p w14:paraId="5590C463" w14:textId="77777777" w:rsidR="004D4893" w:rsidRDefault="004D4893" w:rsidP="003D5AF3">
      <w:pPr>
        <w:pStyle w:val="ListParagraph"/>
        <w:numPr>
          <w:ilvl w:val="0"/>
          <w:numId w:val="0"/>
        </w:numPr>
        <w:pBdr>
          <w:top w:val="single" w:sz="4" w:space="4" w:color="F2F2F2"/>
          <w:left w:val="single" w:sz="4" w:space="4" w:color="F2F2F2"/>
          <w:bottom w:val="single" w:sz="4" w:space="8" w:color="F2F2F2"/>
          <w:right w:val="single" w:sz="4" w:space="4" w:color="F2F2F2"/>
        </w:pBdr>
        <w:shd w:val="clear" w:color="auto" w:fill="DEEAF6"/>
        <w:spacing w:after="80" w:line="260" w:lineRule="atLeast"/>
        <w:rPr>
          <w:rStyle w:val="Emphasis"/>
        </w:rPr>
      </w:pPr>
      <w:r>
        <w:rPr>
          <w:rStyle w:val="Emphasis"/>
        </w:rPr>
        <w:t>If this initiative relates to a government priority, list the specific priority/</w:t>
      </w:r>
      <w:proofErr w:type="spellStart"/>
      <w:r>
        <w:rPr>
          <w:rStyle w:val="Emphasis"/>
        </w:rPr>
        <w:t>ies</w:t>
      </w:r>
      <w:proofErr w:type="spellEnd"/>
      <w:r>
        <w:rPr>
          <w:rStyle w:val="Emphasis"/>
        </w:rPr>
        <w:t xml:space="preserve"> it delivers to.</w:t>
      </w:r>
    </w:p>
    <w:p w14:paraId="2DCAFA5C" w14:textId="5E336C4D" w:rsidR="004D4893" w:rsidRDefault="004D4893" w:rsidP="003D5AF3">
      <w:pPr>
        <w:spacing w:line="260" w:lineRule="atLeast"/>
        <w:rPr>
          <w:i/>
          <w:color w:val="0000FF"/>
        </w:rPr>
      </w:pPr>
      <w:r>
        <w:rPr>
          <w:color w:val="000000"/>
        </w:rPr>
        <w:t>This investment will</w:t>
      </w:r>
      <w:r w:rsidRPr="004D4893">
        <w:rPr>
          <w:color w:val="000000"/>
        </w:rPr>
        <w:t xml:space="preserve"> deliver</w:t>
      </w:r>
      <w:r w:rsidRPr="00F11977">
        <w:rPr>
          <w:i/>
          <w:color w:val="0000FF"/>
        </w:rPr>
        <w:t xml:space="preserve"> [describe/list the assets, service change, etc.).</w:t>
      </w:r>
      <w:r>
        <w:rPr>
          <w:color w:val="000000"/>
        </w:rPr>
        <w:t xml:space="preserve"> The expected outcomes and benefits are</w:t>
      </w:r>
      <w:r w:rsidR="006F0D20">
        <w:rPr>
          <w:color w:val="000000"/>
        </w:rPr>
        <w:t>:</w:t>
      </w:r>
      <w:r>
        <w:rPr>
          <w:color w:val="000000"/>
        </w:rPr>
        <w:t xml:space="preserve"> </w:t>
      </w:r>
      <w:r w:rsidRPr="00D35F23">
        <w:rPr>
          <w:i/>
          <w:color w:val="0000FF"/>
        </w:rPr>
        <w:t>list</w:t>
      </w:r>
    </w:p>
    <w:p w14:paraId="5EF36094" w14:textId="4C22728F" w:rsidR="004D4893" w:rsidRPr="001A1A48" w:rsidRDefault="006F0D20" w:rsidP="003D5AF3">
      <w:pPr>
        <w:numPr>
          <w:ilvl w:val="0"/>
          <w:numId w:val="30"/>
        </w:numPr>
        <w:spacing w:line="260" w:lineRule="atLeast"/>
        <w:ind w:left="567" w:hanging="567"/>
        <w:rPr>
          <w:color w:val="0033CC"/>
          <w:highlight w:val="yellow"/>
        </w:rPr>
      </w:pPr>
      <w:r>
        <w:rPr>
          <w:i/>
          <w:color w:val="0033CC"/>
          <w:highlight w:val="yellow"/>
        </w:rPr>
        <w:t xml:space="preserve">Key outcomes and </w:t>
      </w:r>
      <w:r w:rsidR="009073E7" w:rsidRPr="001A1A48">
        <w:rPr>
          <w:i/>
          <w:color w:val="0033CC"/>
          <w:highlight w:val="yellow"/>
        </w:rPr>
        <w:t>Primary benefits only</w:t>
      </w:r>
    </w:p>
    <w:p w14:paraId="39CD00B5" w14:textId="77777777" w:rsidR="00B50B74" w:rsidRPr="00FA2558" w:rsidRDefault="00B50B74" w:rsidP="006E4FDB">
      <w:pPr>
        <w:pStyle w:val="Heading3"/>
        <w:rPr>
          <w:caps/>
        </w:rPr>
      </w:pPr>
      <w:r>
        <w:t>Work completed to date</w:t>
      </w:r>
      <w:r w:rsidR="00AD3920">
        <w:t>:</w:t>
      </w:r>
    </w:p>
    <w:p w14:paraId="08A0EBA9" w14:textId="3D009BE3" w:rsidR="00B26C93" w:rsidRPr="006E42F9" w:rsidRDefault="002E2C24" w:rsidP="006E42F9">
      <w:pPr>
        <w:spacing w:line="260" w:lineRule="atLeast"/>
        <w:rPr>
          <w:szCs w:val="22"/>
          <w:lang w:val="en-NZ"/>
        </w:rPr>
      </w:pPr>
      <w:r w:rsidRPr="006E42F9">
        <w:rPr>
          <w:rStyle w:val="Emphasis"/>
          <w:i w:val="0"/>
          <w:sz w:val="22"/>
          <w:szCs w:val="22"/>
        </w:rPr>
        <w:t>The</w:t>
      </w:r>
      <w:r w:rsidR="00190579" w:rsidRPr="006E42F9">
        <w:rPr>
          <w:rStyle w:val="Emphasis"/>
          <w:i w:val="0"/>
          <w:sz w:val="22"/>
          <w:szCs w:val="22"/>
        </w:rPr>
        <w:t xml:space="preserve"> previous</w:t>
      </w:r>
      <w:r w:rsidR="00A25630" w:rsidRPr="006E42F9">
        <w:rPr>
          <w:rStyle w:val="Emphasis"/>
          <w:i w:val="0"/>
          <w:sz w:val="22"/>
          <w:szCs w:val="22"/>
        </w:rPr>
        <w:t xml:space="preserve"> </w:t>
      </w:r>
      <w:r w:rsidR="00A25630" w:rsidRPr="006E42F9">
        <w:rPr>
          <w:szCs w:val="22"/>
          <w:highlight w:val="yellow"/>
        </w:rPr>
        <w:t>Detailed/Single-stage</w:t>
      </w:r>
      <w:r w:rsidR="00A25630" w:rsidRPr="006E42F9">
        <w:rPr>
          <w:szCs w:val="22"/>
        </w:rPr>
        <w:t xml:space="preserve"> Business Case </w:t>
      </w:r>
      <w:r w:rsidRPr="006E42F9">
        <w:rPr>
          <w:szCs w:val="22"/>
        </w:rPr>
        <w:t xml:space="preserve">for this investment </w:t>
      </w:r>
      <w:r w:rsidR="00A57521" w:rsidRPr="006E42F9">
        <w:rPr>
          <w:szCs w:val="22"/>
        </w:rPr>
        <w:t xml:space="preserve">was </w:t>
      </w:r>
      <w:r w:rsidR="00A25630" w:rsidRPr="006E42F9">
        <w:rPr>
          <w:szCs w:val="22"/>
        </w:rPr>
        <w:t>approved o</w:t>
      </w:r>
      <w:r w:rsidR="00B50B74" w:rsidRPr="006E42F9">
        <w:rPr>
          <w:szCs w:val="22"/>
        </w:rPr>
        <w:t xml:space="preserve">n </w:t>
      </w:r>
      <w:r w:rsidR="00B50B74" w:rsidRPr="006E42F9">
        <w:rPr>
          <w:szCs w:val="22"/>
          <w:highlight w:val="yellow"/>
        </w:rPr>
        <w:t>[</w:t>
      </w:r>
      <w:proofErr w:type="spellStart"/>
      <w:r w:rsidR="00B50B74" w:rsidRPr="006E42F9">
        <w:rPr>
          <w:szCs w:val="22"/>
          <w:highlight w:val="yellow"/>
        </w:rPr>
        <w:t>dd</w:t>
      </w:r>
      <w:proofErr w:type="spellEnd"/>
      <w:r w:rsidR="00B50B74" w:rsidRPr="006E42F9">
        <w:rPr>
          <w:szCs w:val="22"/>
          <w:highlight w:val="yellow"/>
        </w:rPr>
        <w:t xml:space="preserve"> mmm </w:t>
      </w:r>
      <w:r w:rsidR="0003530F" w:rsidRPr="006E42F9">
        <w:rPr>
          <w:szCs w:val="22"/>
          <w:highlight w:val="yellow"/>
        </w:rPr>
        <w:t>20YY</w:t>
      </w:r>
      <w:r w:rsidR="00B50B74" w:rsidRPr="006E42F9">
        <w:rPr>
          <w:szCs w:val="22"/>
          <w:highlight w:val="yellow"/>
        </w:rPr>
        <w:t>]</w:t>
      </w:r>
      <w:r w:rsidR="00B50B74" w:rsidRPr="006E42F9">
        <w:rPr>
          <w:szCs w:val="22"/>
        </w:rPr>
        <w:t>,</w:t>
      </w:r>
      <w:r w:rsidR="000F151E" w:rsidRPr="006E42F9">
        <w:rPr>
          <w:szCs w:val="22"/>
        </w:rPr>
        <w:t xml:space="preserve"> </w:t>
      </w:r>
      <w:r w:rsidRPr="006E42F9">
        <w:rPr>
          <w:szCs w:val="22"/>
        </w:rPr>
        <w:t>by</w:t>
      </w:r>
      <w:r w:rsidR="00B50B74" w:rsidRPr="006E42F9">
        <w:rPr>
          <w:szCs w:val="22"/>
        </w:rPr>
        <w:t xml:space="preserve"> </w:t>
      </w:r>
      <w:r w:rsidR="000F151E" w:rsidRPr="006E42F9">
        <w:rPr>
          <w:szCs w:val="22"/>
          <w:highlight w:val="yellow"/>
        </w:rPr>
        <w:t>[stakeholder group]</w:t>
      </w:r>
      <w:r w:rsidR="00A57521" w:rsidRPr="006E42F9">
        <w:rPr>
          <w:szCs w:val="22"/>
        </w:rPr>
        <w:t>.  It:</w:t>
      </w:r>
    </w:p>
    <w:p w14:paraId="207D65F3" w14:textId="77777777" w:rsidR="00B50B74" w:rsidRPr="006E42F9" w:rsidRDefault="00B26C93" w:rsidP="006E42F9">
      <w:pPr>
        <w:pStyle w:val="ListParagraph"/>
        <w:numPr>
          <w:ilvl w:val="0"/>
          <w:numId w:val="17"/>
        </w:numPr>
        <w:spacing w:after="80" w:line="260" w:lineRule="atLeast"/>
        <w:ind w:left="425" w:hanging="425"/>
        <w:rPr>
          <w:rStyle w:val="Emphasis"/>
          <w:i w:val="0"/>
          <w:sz w:val="22"/>
          <w:szCs w:val="22"/>
        </w:rPr>
      </w:pPr>
      <w:r w:rsidRPr="006E42F9">
        <w:rPr>
          <w:rStyle w:val="Emphasis"/>
          <w:i w:val="0"/>
          <w:sz w:val="22"/>
          <w:szCs w:val="22"/>
        </w:rPr>
        <w:lastRenderedPageBreak/>
        <w:t>confirmed</w:t>
      </w:r>
      <w:r w:rsidR="002E2C24" w:rsidRPr="006E42F9">
        <w:rPr>
          <w:rStyle w:val="Emphasis"/>
          <w:i w:val="0"/>
          <w:sz w:val="22"/>
          <w:szCs w:val="22"/>
        </w:rPr>
        <w:t xml:space="preserve"> the case for change</w:t>
      </w:r>
      <w:r w:rsidRPr="006E42F9">
        <w:rPr>
          <w:rStyle w:val="Emphasis"/>
          <w:i w:val="0"/>
          <w:sz w:val="22"/>
          <w:szCs w:val="22"/>
        </w:rPr>
        <w:t xml:space="preserve"> and </w:t>
      </w:r>
      <w:r w:rsidR="000F151E" w:rsidRPr="006E42F9">
        <w:rPr>
          <w:rStyle w:val="Emphasis"/>
          <w:i w:val="0"/>
          <w:sz w:val="22"/>
          <w:szCs w:val="22"/>
        </w:rPr>
        <w:t>the P</w:t>
      </w:r>
      <w:r w:rsidR="00B50B74" w:rsidRPr="006E42F9">
        <w:rPr>
          <w:rStyle w:val="Emphasis"/>
          <w:i w:val="0"/>
          <w:sz w:val="22"/>
          <w:szCs w:val="22"/>
        </w:rPr>
        <w:t xml:space="preserve">referred </w:t>
      </w:r>
      <w:r w:rsidR="000F151E" w:rsidRPr="006E42F9">
        <w:rPr>
          <w:rStyle w:val="Emphasis"/>
          <w:i w:val="0"/>
          <w:sz w:val="22"/>
          <w:szCs w:val="22"/>
        </w:rPr>
        <w:t>O</w:t>
      </w:r>
      <w:r w:rsidR="00492F89" w:rsidRPr="006E42F9">
        <w:rPr>
          <w:rStyle w:val="Emphasis"/>
          <w:i w:val="0"/>
          <w:sz w:val="22"/>
          <w:szCs w:val="22"/>
        </w:rPr>
        <w:t>ption</w:t>
      </w:r>
      <w:r w:rsidR="000F151E" w:rsidRPr="006E42F9">
        <w:rPr>
          <w:rStyle w:val="Emphasis"/>
          <w:i w:val="0"/>
          <w:sz w:val="22"/>
          <w:szCs w:val="22"/>
        </w:rPr>
        <w:t xml:space="preserve"> </w:t>
      </w:r>
      <w:r w:rsidRPr="006E42F9">
        <w:rPr>
          <w:rStyle w:val="Emphasis"/>
          <w:i w:val="0"/>
          <w:sz w:val="22"/>
          <w:szCs w:val="22"/>
        </w:rPr>
        <w:t>(</w:t>
      </w:r>
      <w:r w:rsidR="000F151E" w:rsidRPr="006E42F9">
        <w:rPr>
          <w:rStyle w:val="Emphasis"/>
          <w:i w:val="0"/>
          <w:sz w:val="22"/>
          <w:szCs w:val="22"/>
        </w:rPr>
        <w:t xml:space="preserve">the </w:t>
      </w:r>
      <w:r w:rsidRPr="006E42F9">
        <w:rPr>
          <w:rStyle w:val="Emphasis"/>
          <w:i w:val="0"/>
          <w:sz w:val="22"/>
          <w:szCs w:val="22"/>
        </w:rPr>
        <w:t xml:space="preserve">required </w:t>
      </w:r>
      <w:r w:rsidR="000F151E" w:rsidRPr="006E42F9">
        <w:rPr>
          <w:rStyle w:val="Emphasis"/>
          <w:i w:val="0"/>
          <w:sz w:val="22"/>
          <w:szCs w:val="22"/>
        </w:rPr>
        <w:t>solution to address the investment objectives</w:t>
      </w:r>
      <w:r w:rsidR="00A57521" w:rsidRPr="006E42F9">
        <w:rPr>
          <w:rStyle w:val="Emphasis"/>
          <w:i w:val="0"/>
          <w:sz w:val="22"/>
          <w:szCs w:val="22"/>
        </w:rPr>
        <w:t>)</w:t>
      </w:r>
    </w:p>
    <w:p w14:paraId="368C1BC7" w14:textId="77777777" w:rsidR="00783D47" w:rsidRPr="006E42F9" w:rsidRDefault="00B50B74" w:rsidP="006E42F9">
      <w:pPr>
        <w:pStyle w:val="ListParagraph"/>
        <w:numPr>
          <w:ilvl w:val="0"/>
          <w:numId w:val="17"/>
        </w:numPr>
        <w:spacing w:after="80" w:line="260" w:lineRule="atLeast"/>
        <w:ind w:left="425" w:hanging="425"/>
        <w:rPr>
          <w:rStyle w:val="Emphasis"/>
          <w:i w:val="0"/>
          <w:sz w:val="22"/>
          <w:szCs w:val="22"/>
        </w:rPr>
      </w:pPr>
      <w:r w:rsidRPr="006E42F9">
        <w:rPr>
          <w:rStyle w:val="Emphasis"/>
          <w:i w:val="0"/>
          <w:sz w:val="22"/>
          <w:szCs w:val="22"/>
        </w:rPr>
        <w:t>directed</w:t>
      </w:r>
      <w:r w:rsidR="00492F89" w:rsidRPr="006E42F9">
        <w:rPr>
          <w:rStyle w:val="Emphasis"/>
          <w:i w:val="0"/>
          <w:sz w:val="22"/>
          <w:szCs w:val="22"/>
        </w:rPr>
        <w:t xml:space="preserve"> the project</w:t>
      </w:r>
      <w:r w:rsidRPr="006E42F9">
        <w:rPr>
          <w:rStyle w:val="Emphasis"/>
          <w:i w:val="0"/>
          <w:sz w:val="22"/>
          <w:szCs w:val="22"/>
        </w:rPr>
        <w:t xml:space="preserve"> to </w:t>
      </w:r>
      <w:r w:rsidR="00783D47" w:rsidRPr="006E42F9">
        <w:rPr>
          <w:rStyle w:val="Emphasis"/>
          <w:i w:val="0"/>
          <w:sz w:val="22"/>
          <w:szCs w:val="22"/>
        </w:rPr>
        <w:t xml:space="preserve">go to market to </w:t>
      </w:r>
      <w:r w:rsidR="00492F89" w:rsidRPr="006E42F9">
        <w:rPr>
          <w:rStyle w:val="Emphasis"/>
          <w:i w:val="0"/>
          <w:sz w:val="22"/>
          <w:szCs w:val="22"/>
        </w:rPr>
        <w:t xml:space="preserve">procure </w:t>
      </w:r>
      <w:r w:rsidR="00B26C93" w:rsidRPr="006E42F9">
        <w:rPr>
          <w:rStyle w:val="Emphasis"/>
          <w:i w:val="0"/>
          <w:sz w:val="22"/>
          <w:szCs w:val="22"/>
        </w:rPr>
        <w:t>products and services</w:t>
      </w:r>
    </w:p>
    <w:p w14:paraId="05BCCD8F" w14:textId="078BC779" w:rsidR="00B50B74" w:rsidRPr="006E42F9" w:rsidRDefault="00783D47" w:rsidP="006E42F9">
      <w:pPr>
        <w:pStyle w:val="ListParagraph"/>
        <w:numPr>
          <w:ilvl w:val="0"/>
          <w:numId w:val="17"/>
        </w:numPr>
        <w:spacing w:line="260" w:lineRule="atLeast"/>
        <w:ind w:left="425" w:hanging="425"/>
        <w:rPr>
          <w:iCs/>
          <w:szCs w:val="22"/>
        </w:rPr>
      </w:pPr>
      <w:proofErr w:type="gramStart"/>
      <w:r w:rsidRPr="006E42F9">
        <w:rPr>
          <w:rStyle w:val="Emphasis"/>
          <w:i w:val="0"/>
          <w:sz w:val="22"/>
          <w:szCs w:val="22"/>
        </w:rPr>
        <w:t>directed</w:t>
      </w:r>
      <w:proofErr w:type="gramEnd"/>
      <w:r w:rsidRPr="006E42F9">
        <w:rPr>
          <w:rStyle w:val="Emphasis"/>
          <w:i w:val="0"/>
          <w:sz w:val="22"/>
          <w:szCs w:val="22"/>
        </w:rPr>
        <w:t xml:space="preserve"> the project to finalise project </w:t>
      </w:r>
      <w:r w:rsidR="0025036C" w:rsidRPr="006E42F9">
        <w:rPr>
          <w:rStyle w:val="Emphasis"/>
          <w:i w:val="0"/>
          <w:sz w:val="22"/>
          <w:szCs w:val="22"/>
        </w:rPr>
        <w:t xml:space="preserve">management </w:t>
      </w:r>
      <w:r w:rsidR="00B26C93" w:rsidRPr="006E42F9">
        <w:rPr>
          <w:rStyle w:val="Emphasis"/>
          <w:i w:val="0"/>
          <w:sz w:val="22"/>
          <w:szCs w:val="22"/>
        </w:rPr>
        <w:t>arrangements</w:t>
      </w:r>
      <w:r w:rsidR="00B26C93" w:rsidRPr="006E42F9">
        <w:rPr>
          <w:szCs w:val="22"/>
        </w:rPr>
        <w:t xml:space="preserve"> in preparation for implementation</w:t>
      </w:r>
      <w:r w:rsidR="00A57521" w:rsidRPr="006E42F9">
        <w:rPr>
          <w:szCs w:val="22"/>
        </w:rPr>
        <w:t>.</w:t>
      </w:r>
    </w:p>
    <w:p w14:paraId="67F64FCC" w14:textId="1928C97C" w:rsidR="00783D47" w:rsidRPr="006E42F9" w:rsidRDefault="00783D47" w:rsidP="003D5AF3">
      <w:pPr>
        <w:spacing w:line="260" w:lineRule="atLeast"/>
        <w:rPr>
          <w:rStyle w:val="Emphasis"/>
          <w:i w:val="0"/>
          <w:sz w:val="22"/>
          <w:szCs w:val="22"/>
        </w:rPr>
      </w:pPr>
      <w:r w:rsidRPr="006E42F9">
        <w:rPr>
          <w:rStyle w:val="Emphasis"/>
          <w:i w:val="0"/>
          <w:sz w:val="22"/>
          <w:szCs w:val="22"/>
        </w:rPr>
        <w:t xml:space="preserve">This approval was </w:t>
      </w:r>
      <w:r w:rsidR="00485670" w:rsidRPr="006E42F9">
        <w:rPr>
          <w:rStyle w:val="Emphasis"/>
          <w:i w:val="0"/>
          <w:sz w:val="22"/>
          <w:szCs w:val="22"/>
        </w:rPr>
        <w:t xml:space="preserve">dependent </w:t>
      </w:r>
      <w:r w:rsidRPr="006E42F9">
        <w:rPr>
          <w:rStyle w:val="Emphasis"/>
          <w:i w:val="0"/>
          <w:sz w:val="22"/>
          <w:szCs w:val="22"/>
        </w:rPr>
        <w:t xml:space="preserve">on the following </w:t>
      </w:r>
      <w:r w:rsidRPr="006E42F9">
        <w:rPr>
          <w:rStyle w:val="Emphasis"/>
          <w:i w:val="0"/>
          <w:sz w:val="22"/>
          <w:szCs w:val="22"/>
          <w:highlight w:val="yellow"/>
        </w:rPr>
        <w:t>requirements/</w:t>
      </w:r>
      <w:r w:rsidR="00485670" w:rsidRPr="006E42F9">
        <w:rPr>
          <w:rStyle w:val="Emphasis"/>
          <w:i w:val="0"/>
          <w:sz w:val="22"/>
          <w:szCs w:val="22"/>
          <w:highlight w:val="yellow"/>
        </w:rPr>
        <w:t xml:space="preserve"> </w:t>
      </w:r>
      <w:r w:rsidRPr="006E42F9">
        <w:rPr>
          <w:rStyle w:val="Emphasis"/>
          <w:i w:val="0"/>
          <w:sz w:val="22"/>
          <w:szCs w:val="22"/>
          <w:highlight w:val="yellow"/>
        </w:rPr>
        <w:t>parameters/ tolerances/ commitments</w:t>
      </w:r>
      <w:r w:rsidRPr="006E42F9">
        <w:rPr>
          <w:rStyle w:val="Emphasis"/>
          <w:i w:val="0"/>
          <w:sz w:val="22"/>
          <w:szCs w:val="22"/>
        </w:rPr>
        <w:t xml:space="preserve"> to be addressed in this document to obtain approval to proceed:</w:t>
      </w:r>
    </w:p>
    <w:p w14:paraId="3753052B" w14:textId="0F7BD766" w:rsidR="00783D47" w:rsidRPr="006A024A" w:rsidRDefault="006F0D20" w:rsidP="006A024A">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6A024A">
        <w:rPr>
          <w:rStyle w:val="Emphasis"/>
        </w:rPr>
        <w:t>List</w:t>
      </w:r>
      <w:r w:rsidR="00783D47" w:rsidRPr="006A024A">
        <w:rPr>
          <w:rStyle w:val="Emphasis"/>
        </w:rPr>
        <w:t xml:space="preserve"> here any specific tolerances or requirements noted in the previous approval (</w:t>
      </w:r>
      <w:proofErr w:type="spellStart"/>
      <w:r w:rsidR="00783D47" w:rsidRPr="006A024A">
        <w:rPr>
          <w:rStyle w:val="Emphasis"/>
        </w:rPr>
        <w:t>eg</w:t>
      </w:r>
      <w:proofErr w:type="spellEnd"/>
      <w:r w:rsidR="00783D47" w:rsidRPr="006A024A">
        <w:rPr>
          <w:rStyle w:val="Emphasis"/>
        </w:rPr>
        <w:t xml:space="preserve"> </w:t>
      </w:r>
      <w:proofErr w:type="spellStart"/>
      <w:r w:rsidR="00783D47" w:rsidRPr="006A024A">
        <w:rPr>
          <w:rStyle w:val="Emphasis"/>
        </w:rPr>
        <w:t>WoLC</w:t>
      </w:r>
      <w:proofErr w:type="spellEnd"/>
      <w:r w:rsidR="00783D47" w:rsidRPr="006A024A">
        <w:rPr>
          <w:rStyle w:val="Emphasis"/>
        </w:rPr>
        <w:t xml:space="preserve"> to be within 10% of cost </w:t>
      </w:r>
      <w:r w:rsidRPr="006A024A">
        <w:rPr>
          <w:rStyle w:val="Emphasis"/>
        </w:rPr>
        <w:t>approved</w:t>
      </w:r>
      <w:r w:rsidR="00783D47" w:rsidRPr="006A024A">
        <w:rPr>
          <w:rStyle w:val="Emphasis"/>
        </w:rPr>
        <w:t xml:space="preserve"> in the DBC)</w:t>
      </w:r>
      <w:r w:rsidRPr="006A024A">
        <w:rPr>
          <w:rStyle w:val="Emphasis"/>
        </w:rPr>
        <w:t>;</w:t>
      </w:r>
      <w:r w:rsidR="00783D47" w:rsidRPr="006A024A">
        <w:rPr>
          <w:rStyle w:val="Emphasis"/>
        </w:rPr>
        <w:t xml:space="preserve"> state how and whether they have been met, and the implication for the attractiveness of the proposal (</w:t>
      </w:r>
      <w:proofErr w:type="spellStart"/>
      <w:r w:rsidR="00783D47" w:rsidRPr="006A024A">
        <w:rPr>
          <w:rStyle w:val="Emphasis"/>
        </w:rPr>
        <w:t>eg</w:t>
      </w:r>
      <w:proofErr w:type="spellEnd"/>
      <w:r w:rsidR="00783D47" w:rsidRPr="006A024A">
        <w:rPr>
          <w:rStyle w:val="Emphasis"/>
        </w:rPr>
        <w:t xml:space="preserve"> impact on Cost-Benefit Analysis)</w:t>
      </w:r>
      <w:r w:rsidRPr="006A024A">
        <w:rPr>
          <w:rStyle w:val="Emphasis"/>
        </w:rPr>
        <w:t>.</w:t>
      </w:r>
      <w:r w:rsidR="00783D47" w:rsidRPr="006A024A">
        <w:rPr>
          <w:rStyle w:val="Emphasis"/>
        </w:rPr>
        <w:t xml:space="preserve"> If they have not, you may need to go back to Cabinet to restate the DBC.</w:t>
      </w:r>
      <w:r w:rsidRPr="006A024A">
        <w:rPr>
          <w:rStyle w:val="Emphasis"/>
        </w:rPr>
        <w:t xml:space="preserve"> Also be sure to include the statements under the Case to which they apply.  </w:t>
      </w:r>
    </w:p>
    <w:p w14:paraId="372695DB" w14:textId="77777777" w:rsidR="00B50B74" w:rsidRDefault="00B50B74" w:rsidP="006E4FDB">
      <w:pPr>
        <w:pStyle w:val="Heading2"/>
      </w:pPr>
      <w:bookmarkStart w:id="52" w:name="_Toc25746756"/>
      <w:bookmarkStart w:id="53" w:name="_Toc31266882"/>
      <w:r w:rsidRPr="00D17BFC">
        <w:t>Strategic Case</w:t>
      </w:r>
      <w:bookmarkEnd w:id="52"/>
      <w:bookmarkEnd w:id="53"/>
    </w:p>
    <w:p w14:paraId="5E4FC128" w14:textId="77777777" w:rsidR="00B50B74" w:rsidRDefault="00B50B74"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Summarise </w:t>
      </w:r>
      <w:r w:rsidRPr="00FA2558">
        <w:rPr>
          <w:rStyle w:val="Emphasis"/>
        </w:rPr>
        <w:t xml:space="preserve">any </w:t>
      </w:r>
      <w:r w:rsidR="009B3F33" w:rsidRPr="006F0D20">
        <w:rPr>
          <w:rStyle w:val="Emphasis"/>
          <w:u w:val="single"/>
        </w:rPr>
        <w:t>material</w:t>
      </w:r>
      <w:r w:rsidR="009B3F33">
        <w:rPr>
          <w:rStyle w:val="Emphasis"/>
        </w:rPr>
        <w:t xml:space="preserve"> </w:t>
      </w:r>
      <w:r w:rsidRPr="00FA2558">
        <w:rPr>
          <w:rStyle w:val="Emphasis"/>
        </w:rPr>
        <w:t xml:space="preserve">changes </w:t>
      </w:r>
      <w:r w:rsidR="001538B9">
        <w:rPr>
          <w:rStyle w:val="Emphasis"/>
        </w:rPr>
        <w:t>to the Strategic Case since approval of the previous business case</w:t>
      </w:r>
      <w:r w:rsidRPr="00FA2558">
        <w:rPr>
          <w:rStyle w:val="Emphasis"/>
        </w:rPr>
        <w:t>.</w:t>
      </w:r>
      <w:r w:rsidR="00C05A15">
        <w:rPr>
          <w:rStyle w:val="Emphasis"/>
        </w:rPr>
        <w:t xml:space="preserve"> For any changes, </w:t>
      </w:r>
      <w:r w:rsidR="00C05A15" w:rsidRPr="00C05A15">
        <w:rPr>
          <w:rStyle w:val="Emphasis"/>
        </w:rPr>
        <w:t xml:space="preserve">describe </w:t>
      </w:r>
      <w:r w:rsidR="00C05A15">
        <w:rPr>
          <w:rStyle w:val="Emphasis"/>
        </w:rPr>
        <w:t>any</w:t>
      </w:r>
      <w:r w:rsidR="00C05A15" w:rsidRPr="00C05A15">
        <w:rPr>
          <w:rStyle w:val="Emphasis"/>
        </w:rPr>
        <w:t xml:space="preserve"> implications </w:t>
      </w:r>
      <w:r w:rsidR="00C05A15">
        <w:rPr>
          <w:rStyle w:val="Emphasis"/>
        </w:rPr>
        <w:t>to</w:t>
      </w:r>
      <w:r w:rsidR="00C05A15" w:rsidRPr="00C05A15">
        <w:rPr>
          <w:rStyle w:val="Emphasis"/>
        </w:rPr>
        <w:t xml:space="preserve"> the attractiveness of the proposal</w:t>
      </w:r>
      <w:r w:rsidR="00C05A15">
        <w:rPr>
          <w:rStyle w:val="Emphasis"/>
        </w:rPr>
        <w:t>.</w:t>
      </w:r>
    </w:p>
    <w:p w14:paraId="34B20A20" w14:textId="6AD3F3D6" w:rsidR="009E5239" w:rsidRPr="006E42F9" w:rsidRDefault="009E5239" w:rsidP="006F0D20">
      <w:pPr>
        <w:spacing w:after="80" w:line="260" w:lineRule="atLeast"/>
        <w:rPr>
          <w:szCs w:val="22"/>
        </w:rPr>
      </w:pPr>
      <w:r w:rsidRPr="006E42F9">
        <w:rPr>
          <w:rStyle w:val="Emphasis"/>
          <w:i w:val="0"/>
          <w:sz w:val="22"/>
          <w:szCs w:val="22"/>
        </w:rPr>
        <w:t xml:space="preserve">The Strategic Case as set out in the previous business case has been </w:t>
      </w:r>
      <w:r w:rsidR="00C05A15" w:rsidRPr="006E42F9">
        <w:rPr>
          <w:rStyle w:val="Emphasis"/>
          <w:i w:val="0"/>
          <w:sz w:val="22"/>
          <w:szCs w:val="22"/>
        </w:rPr>
        <w:t xml:space="preserve">reassessed and </w:t>
      </w:r>
      <w:r w:rsidR="00A036EC" w:rsidRPr="006E42F9">
        <w:rPr>
          <w:szCs w:val="22"/>
        </w:rPr>
        <w:t>c</w:t>
      </w:r>
      <w:r w:rsidRPr="006E42F9">
        <w:rPr>
          <w:szCs w:val="22"/>
        </w:rPr>
        <w:t>onfirmed by</w:t>
      </w:r>
      <w:r w:rsidR="007A454C" w:rsidRPr="006E42F9">
        <w:rPr>
          <w:i/>
          <w:color w:val="0000FF"/>
          <w:szCs w:val="22"/>
          <w:shd w:val="clear" w:color="auto" w:fill="FFFF00"/>
        </w:rPr>
        <w:t xml:space="preserve"> </w:t>
      </w:r>
      <w:r w:rsidR="00C05A15" w:rsidRPr="006E42F9">
        <w:rPr>
          <w:szCs w:val="22"/>
          <w:highlight w:val="yellow"/>
        </w:rPr>
        <w:t>[stakeholder group]</w:t>
      </w:r>
      <w:r w:rsidR="00C05A15" w:rsidRPr="006E42F9">
        <w:rPr>
          <w:color w:val="0000FF"/>
          <w:szCs w:val="22"/>
        </w:rPr>
        <w:t xml:space="preserve"> </w:t>
      </w:r>
      <w:r w:rsidRPr="006E42F9">
        <w:rPr>
          <w:szCs w:val="22"/>
        </w:rPr>
        <w:t xml:space="preserve">on </w:t>
      </w:r>
      <w:r w:rsidR="00D35F23" w:rsidRPr="006E42F9">
        <w:rPr>
          <w:szCs w:val="22"/>
          <w:shd w:val="clear" w:color="auto" w:fill="FFFF00"/>
        </w:rPr>
        <w:t>[</w:t>
      </w:r>
      <w:proofErr w:type="spellStart"/>
      <w:r w:rsidR="00D35F23" w:rsidRPr="006E42F9">
        <w:rPr>
          <w:szCs w:val="22"/>
          <w:shd w:val="clear" w:color="auto" w:fill="FFFF00"/>
        </w:rPr>
        <w:t>dd</w:t>
      </w:r>
      <w:proofErr w:type="spellEnd"/>
      <w:r w:rsidR="00D35F23" w:rsidRPr="006E42F9">
        <w:rPr>
          <w:szCs w:val="22"/>
          <w:shd w:val="clear" w:color="auto" w:fill="FFFF00"/>
        </w:rPr>
        <w:t xml:space="preserve"> mmm </w:t>
      </w:r>
      <w:r w:rsidR="0003530F" w:rsidRPr="006E42F9">
        <w:rPr>
          <w:szCs w:val="22"/>
          <w:shd w:val="clear" w:color="auto" w:fill="FFFF00"/>
        </w:rPr>
        <w:t>20YY</w:t>
      </w:r>
      <w:r w:rsidRPr="006E42F9">
        <w:rPr>
          <w:szCs w:val="22"/>
          <w:shd w:val="clear" w:color="auto" w:fill="FFFF00"/>
        </w:rPr>
        <w:t>]</w:t>
      </w:r>
      <w:r w:rsidR="00C05A15" w:rsidRPr="006E42F9">
        <w:rPr>
          <w:rStyle w:val="Emphasis"/>
          <w:i w:val="0"/>
          <w:sz w:val="22"/>
          <w:szCs w:val="22"/>
        </w:rPr>
        <w:t xml:space="preserve"> with </w:t>
      </w:r>
      <w:r w:rsidR="00D43A1A" w:rsidRPr="006E42F9">
        <w:rPr>
          <w:rStyle w:val="Emphasis"/>
          <w:i w:val="0"/>
          <w:sz w:val="22"/>
          <w:szCs w:val="22"/>
          <w:highlight w:val="yellow"/>
        </w:rPr>
        <w:t>no/</w:t>
      </w:r>
      <w:r w:rsidR="00C05A15" w:rsidRPr="006E42F9">
        <w:rPr>
          <w:rStyle w:val="Emphasis"/>
          <w:i w:val="0"/>
          <w:sz w:val="22"/>
          <w:szCs w:val="22"/>
          <w:highlight w:val="yellow"/>
        </w:rPr>
        <w:t>the following</w:t>
      </w:r>
      <w:r w:rsidR="00C05A15" w:rsidRPr="006E42F9">
        <w:rPr>
          <w:rStyle w:val="Emphasis"/>
          <w:i w:val="0"/>
          <w:sz w:val="22"/>
          <w:szCs w:val="22"/>
        </w:rPr>
        <w:t xml:space="preserve"> </w:t>
      </w:r>
      <w:r w:rsidR="00D43A1A" w:rsidRPr="006E42F9">
        <w:rPr>
          <w:rStyle w:val="Emphasis"/>
          <w:i w:val="0"/>
          <w:sz w:val="22"/>
          <w:szCs w:val="22"/>
        </w:rPr>
        <w:t>significant</w:t>
      </w:r>
      <w:r w:rsidR="00084B67" w:rsidRPr="006E42F9">
        <w:rPr>
          <w:rStyle w:val="Emphasis"/>
          <w:i w:val="0"/>
          <w:sz w:val="22"/>
          <w:szCs w:val="22"/>
        </w:rPr>
        <w:t xml:space="preserve"> </w:t>
      </w:r>
      <w:r w:rsidR="00C05A15" w:rsidRPr="006E42F9">
        <w:rPr>
          <w:rStyle w:val="Emphasis"/>
          <w:i w:val="0"/>
          <w:sz w:val="22"/>
          <w:szCs w:val="22"/>
        </w:rPr>
        <w:t>changes:</w:t>
      </w:r>
      <w:r w:rsidRPr="006E42F9">
        <w:rPr>
          <w:szCs w:val="22"/>
        </w:rPr>
        <w:t xml:space="preserve"> </w:t>
      </w:r>
    </w:p>
    <w:p w14:paraId="2D3B4B5D" w14:textId="0FAE1281" w:rsidR="00B50B74" w:rsidRPr="006E42F9" w:rsidRDefault="00B50B74" w:rsidP="006E42F9">
      <w:pPr>
        <w:numPr>
          <w:ilvl w:val="0"/>
          <w:numId w:val="8"/>
        </w:numPr>
        <w:spacing w:after="80" w:line="260" w:lineRule="atLeast"/>
        <w:ind w:left="425" w:hanging="425"/>
        <w:rPr>
          <w:rStyle w:val="Emphasis"/>
          <w:i w:val="0"/>
          <w:sz w:val="22"/>
          <w:szCs w:val="22"/>
        </w:rPr>
      </w:pPr>
      <w:r w:rsidRPr="006E42F9">
        <w:rPr>
          <w:i/>
          <w:iCs/>
          <w:color w:val="0000FF"/>
          <w:szCs w:val="22"/>
        </w:rPr>
        <w:t>List</w:t>
      </w:r>
      <w:r w:rsidR="00C05A15" w:rsidRPr="006E42F9">
        <w:rPr>
          <w:i/>
          <w:iCs/>
          <w:color w:val="0000FF"/>
          <w:szCs w:val="22"/>
        </w:rPr>
        <w:t xml:space="preserve"> </w:t>
      </w:r>
      <w:r w:rsidR="00EC722B" w:rsidRPr="006E42F9">
        <w:rPr>
          <w:i/>
          <w:iCs/>
          <w:color w:val="0000FF"/>
          <w:szCs w:val="22"/>
        </w:rPr>
        <w:t xml:space="preserve">key </w:t>
      </w:r>
      <w:r w:rsidR="00C05A15" w:rsidRPr="006E42F9">
        <w:rPr>
          <w:i/>
          <w:iCs/>
          <w:color w:val="0000FF"/>
          <w:szCs w:val="22"/>
        </w:rPr>
        <w:t>changes</w:t>
      </w:r>
      <w:r w:rsidRPr="006E42F9">
        <w:rPr>
          <w:i/>
          <w:iCs/>
          <w:color w:val="0000FF"/>
          <w:szCs w:val="22"/>
        </w:rPr>
        <w:t xml:space="preserve">, </w:t>
      </w:r>
      <w:r w:rsidR="00C05A15" w:rsidRPr="006E42F9">
        <w:rPr>
          <w:i/>
          <w:iCs/>
          <w:color w:val="0000FF"/>
          <w:szCs w:val="22"/>
        </w:rPr>
        <w:t xml:space="preserve">or state </w:t>
      </w:r>
      <w:r w:rsidR="009073E7" w:rsidRPr="006E42F9">
        <w:rPr>
          <w:color w:val="000000" w:themeColor="text1"/>
          <w:szCs w:val="22"/>
        </w:rPr>
        <w:t>N</w:t>
      </w:r>
      <w:r w:rsidR="00C05A15" w:rsidRPr="006E42F9">
        <w:rPr>
          <w:color w:val="000000" w:themeColor="text1"/>
          <w:szCs w:val="22"/>
        </w:rPr>
        <w:t xml:space="preserve">o </w:t>
      </w:r>
      <w:r w:rsidR="00A41A07" w:rsidRPr="006E42F9">
        <w:rPr>
          <w:color w:val="000000" w:themeColor="text1"/>
          <w:szCs w:val="22"/>
        </w:rPr>
        <w:t xml:space="preserve">material </w:t>
      </w:r>
      <w:r w:rsidR="00C05A15" w:rsidRPr="006E42F9">
        <w:rPr>
          <w:color w:val="000000" w:themeColor="text1"/>
          <w:szCs w:val="22"/>
        </w:rPr>
        <w:t>changes</w:t>
      </w:r>
    </w:p>
    <w:p w14:paraId="56C6EB2D" w14:textId="77777777" w:rsidR="009E5239" w:rsidRPr="006E42F9" w:rsidRDefault="009E5239" w:rsidP="006E42F9">
      <w:pPr>
        <w:numPr>
          <w:ilvl w:val="0"/>
          <w:numId w:val="8"/>
        </w:numPr>
        <w:spacing w:line="260" w:lineRule="atLeast"/>
        <w:ind w:left="425" w:hanging="425"/>
        <w:rPr>
          <w:rStyle w:val="Emphasis"/>
          <w:i w:val="0"/>
          <w:sz w:val="22"/>
          <w:szCs w:val="22"/>
        </w:rPr>
      </w:pPr>
    </w:p>
    <w:p w14:paraId="283906A0" w14:textId="77777777" w:rsidR="00B50B74" w:rsidRPr="00D17BFC" w:rsidRDefault="00B50B74" w:rsidP="006E4FDB">
      <w:pPr>
        <w:pStyle w:val="Heading2"/>
      </w:pPr>
      <w:bookmarkStart w:id="54" w:name="_Toc25746757"/>
      <w:bookmarkStart w:id="55" w:name="_Toc31266883"/>
      <w:r w:rsidRPr="00D17BFC">
        <w:t>Economic Case</w:t>
      </w:r>
      <w:bookmarkEnd w:id="54"/>
      <w:bookmarkEnd w:id="55"/>
    </w:p>
    <w:p w14:paraId="2EBFE378" w14:textId="67C58C20" w:rsidR="00450854" w:rsidRDefault="00450854"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Summarise </w:t>
      </w:r>
      <w:r w:rsidRPr="00FA2558">
        <w:rPr>
          <w:rStyle w:val="Emphasis"/>
        </w:rPr>
        <w:t>any</w:t>
      </w:r>
      <w:r w:rsidR="009B3F33">
        <w:rPr>
          <w:rStyle w:val="Emphasis"/>
        </w:rPr>
        <w:t xml:space="preserve"> </w:t>
      </w:r>
      <w:r w:rsidR="009B3F33" w:rsidRPr="006F0D20">
        <w:rPr>
          <w:rStyle w:val="Emphasis"/>
          <w:u w:val="single"/>
        </w:rPr>
        <w:t>material</w:t>
      </w:r>
      <w:r w:rsidRPr="00FA2558">
        <w:rPr>
          <w:rStyle w:val="Emphasis"/>
        </w:rPr>
        <w:t xml:space="preserve"> changes </w:t>
      </w:r>
      <w:r>
        <w:rPr>
          <w:rStyle w:val="Emphasis"/>
        </w:rPr>
        <w:t>to the Economic Case since approval of the previous business case</w:t>
      </w:r>
      <w:r w:rsidRPr="00FA2558">
        <w:rPr>
          <w:rStyle w:val="Emphasis"/>
        </w:rPr>
        <w:t>.</w:t>
      </w:r>
      <w:r w:rsidR="00C05A15" w:rsidRPr="00C05A15">
        <w:rPr>
          <w:rStyle w:val="Emphasis"/>
        </w:rPr>
        <w:t xml:space="preserve"> </w:t>
      </w:r>
      <w:r w:rsidR="00D47DB3">
        <w:rPr>
          <w:rStyle w:val="Emphasis"/>
        </w:rPr>
        <w:t xml:space="preserve"> </w:t>
      </w:r>
      <w:r w:rsidR="006F0D20">
        <w:rPr>
          <w:rStyle w:val="Emphasis"/>
        </w:rPr>
        <w:t>Describe</w:t>
      </w:r>
      <w:r w:rsidR="00C05A15" w:rsidRPr="00C05A15">
        <w:rPr>
          <w:rStyle w:val="Emphasis"/>
        </w:rPr>
        <w:t xml:space="preserve"> </w:t>
      </w:r>
      <w:r w:rsidR="00C05A15">
        <w:rPr>
          <w:rStyle w:val="Emphasis"/>
        </w:rPr>
        <w:t>any</w:t>
      </w:r>
      <w:r w:rsidR="00C05A15" w:rsidRPr="00C05A15">
        <w:rPr>
          <w:rStyle w:val="Emphasis"/>
        </w:rPr>
        <w:t xml:space="preserve"> implications </w:t>
      </w:r>
      <w:r w:rsidR="00C05A15">
        <w:rPr>
          <w:rStyle w:val="Emphasis"/>
        </w:rPr>
        <w:t>to</w:t>
      </w:r>
      <w:r w:rsidR="00C05A15" w:rsidRPr="00C05A15">
        <w:rPr>
          <w:rStyle w:val="Emphasis"/>
        </w:rPr>
        <w:t xml:space="preserve"> the attractiveness of the proposal</w:t>
      </w:r>
      <w:r w:rsidR="00D47DB3">
        <w:rPr>
          <w:rStyle w:val="Emphasis"/>
        </w:rPr>
        <w:t xml:space="preserve">, including impacts on </w:t>
      </w:r>
      <w:r w:rsidR="009B3F33">
        <w:rPr>
          <w:rStyle w:val="Emphasis"/>
        </w:rPr>
        <w:t xml:space="preserve">outcomes and </w:t>
      </w:r>
      <w:r w:rsidR="00D47DB3">
        <w:rPr>
          <w:rStyle w:val="Emphasis"/>
        </w:rPr>
        <w:t>benefits.</w:t>
      </w:r>
    </w:p>
    <w:p w14:paraId="1286470B" w14:textId="50ADE744" w:rsidR="00025778" w:rsidRPr="006E42F9" w:rsidRDefault="00025778" w:rsidP="006F0D20">
      <w:pPr>
        <w:spacing w:after="80" w:line="260" w:lineRule="atLeast"/>
        <w:rPr>
          <w:szCs w:val="22"/>
        </w:rPr>
      </w:pPr>
      <w:r w:rsidRPr="006E42F9">
        <w:rPr>
          <w:rStyle w:val="Emphasis"/>
          <w:i w:val="0"/>
          <w:sz w:val="22"/>
          <w:szCs w:val="22"/>
        </w:rPr>
        <w:t xml:space="preserve">The Economic Case as set out in the previous business case has been reassessed and </w:t>
      </w:r>
      <w:r w:rsidRPr="006E42F9">
        <w:rPr>
          <w:szCs w:val="22"/>
        </w:rPr>
        <w:t>confirmed by</w:t>
      </w:r>
      <w:r w:rsidRPr="006E42F9">
        <w:rPr>
          <w:i/>
          <w:color w:val="0000FF"/>
          <w:szCs w:val="22"/>
          <w:shd w:val="clear" w:color="auto" w:fill="FFFF00"/>
        </w:rPr>
        <w:t xml:space="preserve"> </w:t>
      </w:r>
      <w:r w:rsidRPr="006E42F9">
        <w:rPr>
          <w:szCs w:val="22"/>
          <w:highlight w:val="yellow"/>
        </w:rPr>
        <w:t>[stakeholder group]</w:t>
      </w:r>
      <w:r w:rsidRPr="006E42F9">
        <w:rPr>
          <w:color w:val="0000FF"/>
          <w:szCs w:val="22"/>
        </w:rPr>
        <w:t xml:space="preserve"> </w:t>
      </w:r>
      <w:r w:rsidRPr="006E42F9">
        <w:rPr>
          <w:szCs w:val="22"/>
        </w:rPr>
        <w:t xml:space="preserve">on </w:t>
      </w:r>
      <w:r w:rsidR="00D35F23" w:rsidRPr="006E42F9">
        <w:rPr>
          <w:szCs w:val="22"/>
          <w:shd w:val="clear" w:color="auto" w:fill="FFFF00"/>
        </w:rPr>
        <w:t>[</w:t>
      </w:r>
      <w:proofErr w:type="spellStart"/>
      <w:r w:rsidR="00D35F23" w:rsidRPr="006E42F9">
        <w:rPr>
          <w:szCs w:val="22"/>
          <w:shd w:val="clear" w:color="auto" w:fill="FFFF00"/>
        </w:rPr>
        <w:t>dd</w:t>
      </w:r>
      <w:proofErr w:type="spellEnd"/>
      <w:r w:rsidR="00D35F23" w:rsidRPr="006E42F9">
        <w:rPr>
          <w:szCs w:val="22"/>
          <w:shd w:val="clear" w:color="auto" w:fill="FFFF00"/>
        </w:rPr>
        <w:t xml:space="preserve"> mmm </w:t>
      </w:r>
      <w:r w:rsidR="0003530F" w:rsidRPr="006E42F9">
        <w:rPr>
          <w:szCs w:val="22"/>
          <w:shd w:val="clear" w:color="auto" w:fill="FFFF00"/>
        </w:rPr>
        <w:t>20YY</w:t>
      </w:r>
      <w:r w:rsidRPr="006E42F9">
        <w:rPr>
          <w:szCs w:val="22"/>
          <w:shd w:val="clear" w:color="auto" w:fill="FFFF00"/>
        </w:rPr>
        <w:t>]</w:t>
      </w:r>
      <w:r w:rsidRPr="006E42F9">
        <w:rPr>
          <w:rStyle w:val="Emphasis"/>
          <w:i w:val="0"/>
          <w:sz w:val="22"/>
          <w:szCs w:val="22"/>
        </w:rPr>
        <w:t xml:space="preserve"> with </w:t>
      </w:r>
      <w:r w:rsidR="00D43A1A" w:rsidRPr="006E42F9">
        <w:rPr>
          <w:rStyle w:val="Emphasis"/>
          <w:i w:val="0"/>
          <w:sz w:val="22"/>
          <w:szCs w:val="22"/>
          <w:highlight w:val="yellow"/>
        </w:rPr>
        <w:t>no/the following</w:t>
      </w:r>
      <w:r w:rsidR="00D43A1A" w:rsidRPr="006E42F9">
        <w:rPr>
          <w:rStyle w:val="Emphasis"/>
          <w:i w:val="0"/>
          <w:sz w:val="22"/>
          <w:szCs w:val="22"/>
        </w:rPr>
        <w:t xml:space="preserve"> significant</w:t>
      </w:r>
      <w:r w:rsidR="00084B67" w:rsidRPr="006E42F9">
        <w:rPr>
          <w:rStyle w:val="Emphasis"/>
          <w:i w:val="0"/>
          <w:sz w:val="22"/>
          <w:szCs w:val="22"/>
        </w:rPr>
        <w:t xml:space="preserve"> </w:t>
      </w:r>
      <w:r w:rsidRPr="006E42F9">
        <w:rPr>
          <w:rStyle w:val="Emphasis"/>
          <w:i w:val="0"/>
          <w:sz w:val="22"/>
          <w:szCs w:val="22"/>
        </w:rPr>
        <w:t>changes:</w:t>
      </w:r>
      <w:r w:rsidRPr="006E42F9">
        <w:rPr>
          <w:szCs w:val="22"/>
        </w:rPr>
        <w:t xml:space="preserve"> </w:t>
      </w:r>
    </w:p>
    <w:p w14:paraId="4460194F" w14:textId="075318E4" w:rsidR="00C05A15" w:rsidRPr="006E42F9" w:rsidRDefault="00C05A15" w:rsidP="006E42F9">
      <w:pPr>
        <w:numPr>
          <w:ilvl w:val="0"/>
          <w:numId w:val="18"/>
        </w:numPr>
        <w:spacing w:line="260" w:lineRule="atLeast"/>
        <w:ind w:left="425" w:hanging="425"/>
        <w:rPr>
          <w:rStyle w:val="Emphasis"/>
          <w:i w:val="0"/>
          <w:sz w:val="22"/>
          <w:szCs w:val="22"/>
        </w:rPr>
      </w:pPr>
      <w:r w:rsidRPr="006E42F9">
        <w:rPr>
          <w:i/>
          <w:color w:val="0000FF"/>
          <w:szCs w:val="22"/>
        </w:rPr>
        <w:t xml:space="preserve">List </w:t>
      </w:r>
      <w:r w:rsidR="00EC722B" w:rsidRPr="006E42F9">
        <w:rPr>
          <w:i/>
          <w:color w:val="0000FF"/>
          <w:szCs w:val="22"/>
        </w:rPr>
        <w:t xml:space="preserve">key </w:t>
      </w:r>
      <w:r w:rsidRPr="006E42F9">
        <w:rPr>
          <w:i/>
          <w:color w:val="0000FF"/>
          <w:szCs w:val="22"/>
        </w:rPr>
        <w:t xml:space="preserve">changes, or state </w:t>
      </w:r>
      <w:r w:rsidR="00A41A07" w:rsidRPr="006E42F9">
        <w:rPr>
          <w:color w:val="000000" w:themeColor="text1"/>
          <w:szCs w:val="22"/>
        </w:rPr>
        <w:t>No material changes</w:t>
      </w:r>
    </w:p>
    <w:p w14:paraId="35B7BAE6" w14:textId="77777777" w:rsidR="00C05A15" w:rsidRPr="006E42F9" w:rsidRDefault="00C05A15" w:rsidP="006E42F9">
      <w:pPr>
        <w:numPr>
          <w:ilvl w:val="0"/>
          <w:numId w:val="18"/>
        </w:numPr>
        <w:spacing w:line="260" w:lineRule="atLeast"/>
        <w:ind w:left="425" w:hanging="425"/>
        <w:rPr>
          <w:rStyle w:val="Emphasis"/>
          <w:i w:val="0"/>
          <w:sz w:val="22"/>
          <w:szCs w:val="22"/>
        </w:rPr>
      </w:pPr>
    </w:p>
    <w:p w14:paraId="6489E32B" w14:textId="77777777" w:rsidR="009B3F33" w:rsidRPr="006E42F9" w:rsidRDefault="009B3F33" w:rsidP="003D5AF3">
      <w:pPr>
        <w:spacing w:line="260" w:lineRule="atLeast"/>
        <w:rPr>
          <w:rStyle w:val="Emphasis"/>
          <w:color w:val="0000FF"/>
          <w:sz w:val="22"/>
          <w:szCs w:val="22"/>
        </w:rPr>
      </w:pPr>
      <w:r w:rsidRPr="006E42F9">
        <w:rPr>
          <w:rStyle w:val="Emphasis"/>
          <w:i w:val="0"/>
          <w:sz w:val="22"/>
          <w:szCs w:val="22"/>
        </w:rPr>
        <w:t xml:space="preserve">The Preferred Option that optimises public value is </w:t>
      </w:r>
      <w:r w:rsidRPr="006E42F9">
        <w:rPr>
          <w:rStyle w:val="Emphasis"/>
          <w:color w:val="0000FF"/>
          <w:sz w:val="22"/>
          <w:szCs w:val="22"/>
          <w:highlight w:val="yellow"/>
        </w:rPr>
        <w:t>name and briefly describe</w:t>
      </w:r>
      <w:r w:rsidR="003B09AC" w:rsidRPr="006E42F9">
        <w:rPr>
          <w:rStyle w:val="Emphasis"/>
          <w:color w:val="0000FF"/>
          <w:sz w:val="22"/>
          <w:szCs w:val="22"/>
        </w:rPr>
        <w:t xml:space="preserve">. Explicitly describe </w:t>
      </w:r>
      <w:r w:rsidR="009016E1" w:rsidRPr="006E42F9">
        <w:rPr>
          <w:rStyle w:val="Emphasis"/>
          <w:color w:val="0000FF"/>
          <w:sz w:val="22"/>
          <w:szCs w:val="22"/>
        </w:rPr>
        <w:t>any</w:t>
      </w:r>
      <w:r w:rsidR="003B09AC" w:rsidRPr="006E42F9">
        <w:rPr>
          <w:rStyle w:val="Emphasis"/>
          <w:color w:val="0000FF"/>
          <w:sz w:val="22"/>
          <w:szCs w:val="22"/>
        </w:rPr>
        <w:t xml:space="preserve"> key trade-offs between value-for-money and wellbeing or broader outcome benefits that led to the selection of this preferred option. </w:t>
      </w:r>
    </w:p>
    <w:p w14:paraId="18DCCBC1" w14:textId="05CD253F" w:rsidR="009B3F33" w:rsidRPr="006E42F9" w:rsidRDefault="009B3F33" w:rsidP="003D5AF3">
      <w:pPr>
        <w:spacing w:line="260" w:lineRule="atLeast"/>
        <w:rPr>
          <w:szCs w:val="22"/>
        </w:rPr>
      </w:pPr>
      <w:r w:rsidRPr="006E42F9">
        <w:rPr>
          <w:rStyle w:val="Emphasis"/>
          <w:i w:val="0"/>
          <w:sz w:val="22"/>
          <w:szCs w:val="22"/>
        </w:rPr>
        <w:t xml:space="preserve">The whole-of-life cost </w:t>
      </w:r>
      <w:r w:rsidR="009073E7" w:rsidRPr="006E42F9">
        <w:rPr>
          <w:rStyle w:val="Emphasis"/>
          <w:i w:val="0"/>
          <w:sz w:val="22"/>
          <w:szCs w:val="22"/>
        </w:rPr>
        <w:t>(</w:t>
      </w:r>
      <w:proofErr w:type="spellStart"/>
      <w:r w:rsidR="009073E7" w:rsidRPr="006E42F9">
        <w:rPr>
          <w:rStyle w:val="Emphasis"/>
          <w:i w:val="0"/>
          <w:sz w:val="22"/>
          <w:szCs w:val="22"/>
        </w:rPr>
        <w:t>WoLC</w:t>
      </w:r>
      <w:proofErr w:type="spellEnd"/>
      <w:r w:rsidR="009073E7" w:rsidRPr="006E42F9">
        <w:rPr>
          <w:rStyle w:val="Emphasis"/>
          <w:i w:val="0"/>
          <w:sz w:val="22"/>
          <w:szCs w:val="22"/>
        </w:rPr>
        <w:t xml:space="preserve">) </w:t>
      </w:r>
      <w:r w:rsidRPr="006E42F9">
        <w:rPr>
          <w:rStyle w:val="Emphasis"/>
          <w:i w:val="0"/>
          <w:sz w:val="22"/>
          <w:szCs w:val="22"/>
        </w:rPr>
        <w:t>for investment in the Preferred Option is $</w:t>
      </w:r>
      <w:r w:rsidR="0003530F" w:rsidRPr="006E42F9">
        <w:rPr>
          <w:rStyle w:val="Emphasis"/>
          <w:i w:val="0"/>
          <w:sz w:val="22"/>
          <w:szCs w:val="22"/>
          <w:highlight w:val="yellow"/>
        </w:rPr>
        <w:t>xxx million</w:t>
      </w:r>
      <w:r w:rsidRPr="006E42F9">
        <w:rPr>
          <w:rStyle w:val="Emphasis"/>
          <w:i w:val="0"/>
          <w:sz w:val="22"/>
          <w:szCs w:val="22"/>
        </w:rPr>
        <w:t xml:space="preserve"> (present value) over the ex</w:t>
      </w:r>
      <w:r w:rsidRPr="006E42F9">
        <w:rPr>
          <w:szCs w:val="22"/>
        </w:rPr>
        <w:t xml:space="preserve">pected lifespan of </w:t>
      </w:r>
      <w:r w:rsidRPr="006E42F9">
        <w:rPr>
          <w:szCs w:val="22"/>
          <w:highlight w:val="yellow"/>
        </w:rPr>
        <w:t>xx</w:t>
      </w:r>
      <w:r w:rsidRPr="006E42F9">
        <w:rPr>
          <w:szCs w:val="22"/>
        </w:rPr>
        <w:t xml:space="preserve"> years.</w:t>
      </w:r>
    </w:p>
    <w:p w14:paraId="41AA09F9" w14:textId="77777777" w:rsidR="001442F9" w:rsidRDefault="001442F9" w:rsidP="006E4FDB">
      <w:pPr>
        <w:pStyle w:val="Heading2"/>
      </w:pPr>
      <w:bookmarkStart w:id="56" w:name="_Toc31266884"/>
      <w:r w:rsidRPr="00D17BFC">
        <w:t>Com</w:t>
      </w:r>
      <w:r w:rsidRPr="005F2E69">
        <w:t>mercial Case</w:t>
      </w:r>
      <w:bookmarkEnd w:id="56"/>
    </w:p>
    <w:p w14:paraId="334D6A34" w14:textId="77777777" w:rsidR="001442F9" w:rsidRDefault="001442F9" w:rsidP="005F2E69">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A57521">
        <w:rPr>
          <w:rStyle w:val="Emphasis"/>
          <w:u w:val="single"/>
        </w:rPr>
        <w:t>Summarise</w:t>
      </w:r>
      <w:r w:rsidRPr="00A36808">
        <w:rPr>
          <w:rStyle w:val="Emphasis"/>
        </w:rPr>
        <w:t xml:space="preserve"> the </w:t>
      </w:r>
      <w:r w:rsidR="00482953">
        <w:rPr>
          <w:rStyle w:val="Emphasis"/>
        </w:rPr>
        <w:t xml:space="preserve">process used to </w:t>
      </w:r>
      <w:r w:rsidR="00C16720">
        <w:rPr>
          <w:rStyle w:val="Emphasis"/>
        </w:rPr>
        <w:t>s</w:t>
      </w:r>
      <w:r w:rsidR="00751377">
        <w:rPr>
          <w:rStyle w:val="Emphasis"/>
        </w:rPr>
        <w:t xml:space="preserve">elect </w:t>
      </w:r>
      <w:r w:rsidR="00482953">
        <w:rPr>
          <w:rStyle w:val="Emphasis"/>
        </w:rPr>
        <w:t>the</w:t>
      </w:r>
      <w:r w:rsidR="00751377">
        <w:rPr>
          <w:rStyle w:val="Emphasis"/>
        </w:rPr>
        <w:t xml:space="preserve"> preferred supplier</w:t>
      </w:r>
      <w:r w:rsidR="00482953">
        <w:rPr>
          <w:rStyle w:val="Emphasis"/>
        </w:rPr>
        <w:t>(</w:t>
      </w:r>
      <w:r w:rsidR="00751377">
        <w:rPr>
          <w:rStyle w:val="Emphasis"/>
        </w:rPr>
        <w:t>s</w:t>
      </w:r>
      <w:r w:rsidR="00482953">
        <w:rPr>
          <w:rStyle w:val="Emphasis"/>
        </w:rPr>
        <w:t>)</w:t>
      </w:r>
      <w:r w:rsidR="00751377">
        <w:rPr>
          <w:rStyle w:val="Emphasis"/>
        </w:rPr>
        <w:t xml:space="preserve">, </w:t>
      </w:r>
      <w:r w:rsidR="00C16720">
        <w:rPr>
          <w:rStyle w:val="Emphasis"/>
        </w:rPr>
        <w:t xml:space="preserve">the </w:t>
      </w:r>
      <w:r w:rsidR="00751377">
        <w:rPr>
          <w:rStyle w:val="Emphasis"/>
        </w:rPr>
        <w:t xml:space="preserve">proposed </w:t>
      </w:r>
      <w:r w:rsidR="00BB6A78">
        <w:rPr>
          <w:rStyle w:val="Emphasis"/>
        </w:rPr>
        <w:t xml:space="preserve">contractual arrangements and </w:t>
      </w:r>
      <w:r w:rsidR="00751377">
        <w:rPr>
          <w:rStyle w:val="Emphasis"/>
        </w:rPr>
        <w:t xml:space="preserve">the </w:t>
      </w:r>
      <w:r w:rsidR="00BB6A78" w:rsidRPr="00A36808">
        <w:rPr>
          <w:rStyle w:val="Emphasis"/>
        </w:rPr>
        <w:t xml:space="preserve">main risks </w:t>
      </w:r>
      <w:r w:rsidR="00751377">
        <w:rPr>
          <w:rStyle w:val="Emphasis"/>
        </w:rPr>
        <w:t>for</w:t>
      </w:r>
      <w:r w:rsidR="00BB6A78">
        <w:rPr>
          <w:rStyle w:val="Emphasis"/>
        </w:rPr>
        <w:t xml:space="preserve"> the required</w:t>
      </w:r>
      <w:r w:rsidRPr="00A36808">
        <w:rPr>
          <w:rStyle w:val="Emphasis"/>
        </w:rPr>
        <w:t xml:space="preserve"> products and services.</w:t>
      </w:r>
    </w:p>
    <w:p w14:paraId="3BF01113" w14:textId="75986A11" w:rsidR="005F5309" w:rsidRPr="006E42F9" w:rsidRDefault="005F5309" w:rsidP="003D5AF3">
      <w:pPr>
        <w:spacing w:line="260" w:lineRule="atLeast"/>
        <w:rPr>
          <w:rStyle w:val="Emphasis"/>
          <w:i w:val="0"/>
          <w:sz w:val="22"/>
          <w:szCs w:val="22"/>
        </w:rPr>
      </w:pPr>
      <w:r w:rsidRPr="006E42F9">
        <w:rPr>
          <w:rStyle w:val="Emphasis"/>
          <w:i w:val="0"/>
          <w:sz w:val="22"/>
          <w:szCs w:val="22"/>
        </w:rPr>
        <w:t xml:space="preserve">The previous business case </w:t>
      </w:r>
      <w:r w:rsidR="00D43A1A" w:rsidRPr="006E42F9">
        <w:rPr>
          <w:rStyle w:val="Emphasis"/>
          <w:i w:val="0"/>
          <w:sz w:val="22"/>
          <w:szCs w:val="22"/>
        </w:rPr>
        <w:t>approval included a Procurement Plan</w:t>
      </w:r>
      <w:r w:rsidRPr="006E42F9">
        <w:rPr>
          <w:rStyle w:val="Emphasis"/>
          <w:i w:val="0"/>
          <w:sz w:val="22"/>
          <w:szCs w:val="22"/>
        </w:rPr>
        <w:t xml:space="preserve"> to approach the market</w:t>
      </w:r>
      <w:r w:rsidR="00D43A1A" w:rsidRPr="006E42F9">
        <w:rPr>
          <w:rStyle w:val="Emphasis"/>
          <w:i w:val="0"/>
          <w:sz w:val="22"/>
          <w:szCs w:val="22"/>
        </w:rPr>
        <w:t xml:space="preserve"> for solutions</w:t>
      </w:r>
      <w:r w:rsidRPr="006E42F9">
        <w:rPr>
          <w:rStyle w:val="Emphasis"/>
          <w:i w:val="0"/>
          <w:sz w:val="22"/>
          <w:szCs w:val="22"/>
        </w:rPr>
        <w:t xml:space="preserve"> and</w:t>
      </w:r>
      <w:r w:rsidR="00D43A1A" w:rsidRPr="006E42F9">
        <w:rPr>
          <w:rStyle w:val="Emphasis"/>
          <w:i w:val="0"/>
          <w:sz w:val="22"/>
          <w:szCs w:val="22"/>
        </w:rPr>
        <w:t xml:space="preserve"> develop </w:t>
      </w:r>
      <w:r w:rsidRPr="006E42F9">
        <w:rPr>
          <w:rStyle w:val="Emphasis"/>
          <w:i w:val="0"/>
          <w:sz w:val="22"/>
          <w:szCs w:val="22"/>
        </w:rPr>
        <w:t>suitable draft contract</w:t>
      </w:r>
      <w:r w:rsidR="00D43A1A" w:rsidRPr="006E42F9">
        <w:rPr>
          <w:rStyle w:val="Emphasis"/>
          <w:i w:val="0"/>
          <w:sz w:val="22"/>
          <w:szCs w:val="22"/>
        </w:rPr>
        <w:t>s</w:t>
      </w:r>
      <w:r w:rsidRPr="006E42F9">
        <w:rPr>
          <w:rStyle w:val="Emphasis"/>
          <w:i w:val="0"/>
          <w:sz w:val="22"/>
          <w:szCs w:val="22"/>
        </w:rPr>
        <w:t>.</w:t>
      </w:r>
      <w:r w:rsidR="00D43A1A" w:rsidRPr="006E42F9">
        <w:rPr>
          <w:rStyle w:val="Emphasis"/>
          <w:i w:val="0"/>
          <w:sz w:val="22"/>
          <w:szCs w:val="22"/>
        </w:rPr>
        <w:t xml:space="preserve"> </w:t>
      </w:r>
      <w:r w:rsidR="00D47DB3" w:rsidRPr="006E42F9">
        <w:rPr>
          <w:rStyle w:val="Emphasis"/>
          <w:i w:val="0"/>
          <w:sz w:val="22"/>
          <w:szCs w:val="22"/>
        </w:rPr>
        <w:t xml:space="preserve"> </w:t>
      </w:r>
      <w:r w:rsidR="00D43A1A" w:rsidRPr="006E42F9">
        <w:rPr>
          <w:rStyle w:val="Emphasis"/>
          <w:i w:val="0"/>
          <w:sz w:val="22"/>
          <w:szCs w:val="22"/>
        </w:rPr>
        <w:t>A</w:t>
      </w:r>
      <w:r w:rsidR="00A57521" w:rsidRPr="006E42F9">
        <w:rPr>
          <w:rStyle w:val="Emphasis"/>
          <w:i w:val="0"/>
          <w:sz w:val="22"/>
          <w:szCs w:val="22"/>
        </w:rPr>
        <w:t xml:space="preserve"> </w:t>
      </w:r>
      <w:r w:rsidR="00A57521" w:rsidRPr="006E42F9">
        <w:rPr>
          <w:rStyle w:val="Emphasis"/>
          <w:i w:val="0"/>
          <w:sz w:val="22"/>
          <w:szCs w:val="22"/>
          <w:highlight w:val="yellow"/>
        </w:rPr>
        <w:t>Request for Proposal/Request for Tender (</w:t>
      </w:r>
      <w:r w:rsidR="00E64EBA" w:rsidRPr="006E42F9">
        <w:rPr>
          <w:rStyle w:val="Emphasis"/>
          <w:i w:val="0"/>
          <w:sz w:val="22"/>
          <w:szCs w:val="22"/>
          <w:highlight w:val="yellow"/>
        </w:rPr>
        <w:t>RFP</w:t>
      </w:r>
      <w:r w:rsidRPr="006E42F9">
        <w:rPr>
          <w:rStyle w:val="Emphasis"/>
          <w:i w:val="0"/>
          <w:sz w:val="22"/>
          <w:szCs w:val="22"/>
          <w:highlight w:val="yellow"/>
        </w:rPr>
        <w:t>/RFT</w:t>
      </w:r>
      <w:r w:rsidR="00A57521" w:rsidRPr="006E42F9">
        <w:rPr>
          <w:rStyle w:val="Emphasis"/>
          <w:i w:val="0"/>
          <w:sz w:val="22"/>
          <w:szCs w:val="22"/>
          <w:highlight w:val="yellow"/>
        </w:rPr>
        <w:t>)</w:t>
      </w:r>
      <w:r w:rsidRPr="006E42F9">
        <w:rPr>
          <w:rStyle w:val="Emphasis"/>
          <w:i w:val="0"/>
          <w:sz w:val="22"/>
          <w:szCs w:val="22"/>
        </w:rPr>
        <w:t xml:space="preserve"> was issued on [</w:t>
      </w:r>
      <w:proofErr w:type="spellStart"/>
      <w:r w:rsidRPr="006E42F9">
        <w:rPr>
          <w:rStyle w:val="Emphasis"/>
          <w:i w:val="0"/>
          <w:sz w:val="22"/>
          <w:szCs w:val="22"/>
          <w:highlight w:val="yellow"/>
        </w:rPr>
        <w:t>dd</w:t>
      </w:r>
      <w:proofErr w:type="spellEnd"/>
      <w:r w:rsidRPr="006E42F9">
        <w:rPr>
          <w:rStyle w:val="Emphasis"/>
          <w:i w:val="0"/>
          <w:sz w:val="22"/>
          <w:szCs w:val="22"/>
          <w:highlight w:val="yellow"/>
        </w:rPr>
        <w:t xml:space="preserve"> mmm </w:t>
      </w:r>
      <w:r w:rsidR="0003530F" w:rsidRPr="006E42F9">
        <w:rPr>
          <w:rStyle w:val="Emphasis"/>
          <w:i w:val="0"/>
          <w:sz w:val="22"/>
          <w:szCs w:val="22"/>
          <w:highlight w:val="yellow"/>
        </w:rPr>
        <w:t>20YY</w:t>
      </w:r>
      <w:r w:rsidRPr="006E42F9">
        <w:rPr>
          <w:rStyle w:val="Emphasis"/>
          <w:i w:val="0"/>
          <w:sz w:val="22"/>
          <w:szCs w:val="22"/>
        </w:rPr>
        <w:t>] and closed on [</w:t>
      </w:r>
      <w:proofErr w:type="spellStart"/>
      <w:r w:rsidRPr="006E42F9">
        <w:rPr>
          <w:rStyle w:val="Emphasis"/>
          <w:i w:val="0"/>
          <w:sz w:val="22"/>
          <w:szCs w:val="22"/>
          <w:highlight w:val="yellow"/>
        </w:rPr>
        <w:t>dd</w:t>
      </w:r>
      <w:proofErr w:type="spellEnd"/>
      <w:r w:rsidRPr="006E42F9">
        <w:rPr>
          <w:rStyle w:val="Emphasis"/>
          <w:i w:val="0"/>
          <w:sz w:val="22"/>
          <w:szCs w:val="22"/>
          <w:highlight w:val="yellow"/>
        </w:rPr>
        <w:t xml:space="preserve"> mmm </w:t>
      </w:r>
      <w:r w:rsidR="0003530F" w:rsidRPr="006E42F9">
        <w:rPr>
          <w:rStyle w:val="Emphasis"/>
          <w:i w:val="0"/>
          <w:sz w:val="22"/>
          <w:szCs w:val="22"/>
          <w:highlight w:val="yellow"/>
        </w:rPr>
        <w:t>20YY</w:t>
      </w:r>
      <w:r w:rsidRPr="006E42F9">
        <w:rPr>
          <w:rStyle w:val="Emphasis"/>
          <w:i w:val="0"/>
          <w:sz w:val="22"/>
          <w:szCs w:val="22"/>
        </w:rPr>
        <w:t xml:space="preserve">]. </w:t>
      </w:r>
    </w:p>
    <w:p w14:paraId="7F47477B" w14:textId="62D8E9AD" w:rsidR="00816460" w:rsidRPr="006E42F9" w:rsidRDefault="00816460" w:rsidP="003D5AF3">
      <w:pPr>
        <w:spacing w:line="260" w:lineRule="atLeast"/>
        <w:rPr>
          <w:szCs w:val="22"/>
          <w:highlight w:val="yellow"/>
        </w:rPr>
      </w:pPr>
      <w:r w:rsidRPr="006E42F9">
        <w:rPr>
          <w:szCs w:val="22"/>
          <w:highlight w:val="yellow"/>
        </w:rPr>
        <w:t xml:space="preserve">The procurement process followed complies with MBIE Rules of Procurement.  </w:t>
      </w:r>
    </w:p>
    <w:p w14:paraId="6C8E42BA" w14:textId="77777777" w:rsidR="00816460" w:rsidRPr="006E42F9" w:rsidRDefault="00816460" w:rsidP="006F0D20">
      <w:pPr>
        <w:spacing w:after="0" w:line="260" w:lineRule="atLeast"/>
        <w:rPr>
          <w:i/>
          <w:color w:val="0000FF"/>
          <w:szCs w:val="22"/>
          <w:highlight w:val="yellow"/>
        </w:rPr>
      </w:pPr>
      <w:r w:rsidRPr="006E42F9">
        <w:rPr>
          <w:i/>
          <w:color w:val="0000FF"/>
          <w:szCs w:val="22"/>
          <w:highlight w:val="yellow"/>
        </w:rPr>
        <w:t xml:space="preserve"> - </w:t>
      </w:r>
      <w:proofErr w:type="gramStart"/>
      <w:r w:rsidRPr="006E42F9">
        <w:rPr>
          <w:i/>
          <w:color w:val="0000FF"/>
          <w:szCs w:val="22"/>
          <w:highlight w:val="yellow"/>
        </w:rPr>
        <w:t>or</w:t>
      </w:r>
      <w:proofErr w:type="gramEnd"/>
      <w:r w:rsidRPr="006E42F9">
        <w:rPr>
          <w:i/>
          <w:color w:val="0000FF"/>
          <w:szCs w:val="22"/>
          <w:highlight w:val="yellow"/>
        </w:rPr>
        <w:t xml:space="preserve"> – </w:t>
      </w:r>
    </w:p>
    <w:p w14:paraId="28A2BBF4" w14:textId="717FBA9C" w:rsidR="00816460" w:rsidRPr="006E42F9" w:rsidRDefault="00816460" w:rsidP="003D5AF3">
      <w:pPr>
        <w:spacing w:line="260" w:lineRule="atLeast"/>
        <w:rPr>
          <w:rFonts w:ascii="Calibri" w:hAnsi="Calibri"/>
          <w:szCs w:val="22"/>
          <w:lang w:val="en-NZ" w:eastAsia="en-US"/>
        </w:rPr>
      </w:pPr>
      <w:r w:rsidRPr="006E42F9">
        <w:rPr>
          <w:szCs w:val="22"/>
          <w:highlight w:val="yellow"/>
        </w:rPr>
        <w:lastRenderedPageBreak/>
        <w:t xml:space="preserve">MBIE approved </w:t>
      </w:r>
      <w:r w:rsidR="006F0D20" w:rsidRPr="006E42F9">
        <w:rPr>
          <w:szCs w:val="22"/>
          <w:highlight w:val="yellow"/>
        </w:rPr>
        <w:t>(</w:t>
      </w:r>
      <w:r w:rsidRPr="006E42F9">
        <w:rPr>
          <w:szCs w:val="22"/>
          <w:highlight w:val="yellow"/>
        </w:rPr>
        <w:t>or recommended</w:t>
      </w:r>
      <w:r w:rsidR="006F0D20" w:rsidRPr="006E42F9">
        <w:rPr>
          <w:szCs w:val="22"/>
          <w:highlight w:val="yellow"/>
        </w:rPr>
        <w:t>)</w:t>
      </w:r>
      <w:r w:rsidRPr="006E42F9">
        <w:rPr>
          <w:szCs w:val="22"/>
          <w:highlight w:val="yellow"/>
        </w:rPr>
        <w:t xml:space="preserve"> the procurement approach chosen.</w:t>
      </w:r>
    </w:p>
    <w:p w14:paraId="060038FB" w14:textId="370B53A3" w:rsidR="00816460" w:rsidRPr="006E42F9" w:rsidRDefault="00816460" w:rsidP="003D5AF3">
      <w:pPr>
        <w:spacing w:line="260" w:lineRule="atLeast"/>
        <w:rPr>
          <w:rStyle w:val="Emphasis"/>
          <w:i w:val="0"/>
          <w:sz w:val="22"/>
          <w:szCs w:val="22"/>
        </w:rPr>
      </w:pPr>
      <w:r w:rsidRPr="006E42F9">
        <w:rPr>
          <w:rStyle w:val="Emphasis"/>
          <w:i w:val="0"/>
          <w:sz w:val="22"/>
          <w:szCs w:val="22"/>
        </w:rPr>
        <w:t>An evaluation panel review</w:t>
      </w:r>
      <w:r w:rsidR="006F0D20" w:rsidRPr="006E42F9">
        <w:rPr>
          <w:rStyle w:val="Emphasis"/>
          <w:i w:val="0"/>
          <w:sz w:val="22"/>
          <w:szCs w:val="22"/>
        </w:rPr>
        <w:t>ed</w:t>
      </w:r>
      <w:r w:rsidRPr="006E42F9">
        <w:rPr>
          <w:rStyle w:val="Emphasis"/>
          <w:i w:val="0"/>
          <w:sz w:val="22"/>
          <w:szCs w:val="22"/>
        </w:rPr>
        <w:t xml:space="preserve"> all valid supplier offers following the process described in the Procurement Plan.  The panel </w:t>
      </w:r>
      <w:r w:rsidR="006F0D20" w:rsidRPr="006E42F9">
        <w:rPr>
          <w:rStyle w:val="Emphasis"/>
          <w:i w:val="0"/>
          <w:sz w:val="22"/>
          <w:szCs w:val="22"/>
        </w:rPr>
        <w:t>applied a</w:t>
      </w:r>
      <w:r w:rsidRPr="006E42F9">
        <w:rPr>
          <w:rStyle w:val="Emphasis"/>
          <w:i w:val="0"/>
          <w:sz w:val="22"/>
          <w:szCs w:val="22"/>
        </w:rPr>
        <w:t xml:space="preserve"> consistent process for all proposals and evaluated proposals against documented </w:t>
      </w:r>
      <w:r w:rsidRPr="006E42F9">
        <w:rPr>
          <w:rStyle w:val="Emphasis"/>
          <w:i w:val="0"/>
          <w:sz w:val="22"/>
          <w:szCs w:val="22"/>
          <w:highlight w:val="yellow"/>
        </w:rPr>
        <w:t>weighted</w:t>
      </w:r>
      <w:r w:rsidRPr="006E42F9">
        <w:rPr>
          <w:rStyle w:val="Emphasis"/>
          <w:i w:val="0"/>
          <w:sz w:val="22"/>
          <w:szCs w:val="22"/>
        </w:rPr>
        <w:t xml:space="preserve"> criteria.  </w:t>
      </w:r>
    </w:p>
    <w:p w14:paraId="3FCC765F" w14:textId="1EA9DFA8" w:rsidR="00816460" w:rsidRPr="006E42F9" w:rsidRDefault="00816460" w:rsidP="006F0D20">
      <w:pPr>
        <w:spacing w:after="80" w:line="260" w:lineRule="atLeast"/>
        <w:rPr>
          <w:rStyle w:val="Emphasis"/>
          <w:i w:val="0"/>
          <w:sz w:val="22"/>
          <w:szCs w:val="22"/>
        </w:rPr>
      </w:pPr>
      <w:r w:rsidRPr="006E42F9">
        <w:rPr>
          <w:rStyle w:val="Emphasis"/>
          <w:i w:val="0"/>
          <w:sz w:val="22"/>
          <w:szCs w:val="22"/>
        </w:rPr>
        <w:t xml:space="preserve">The following suppliers provided offers that met the preconditions and were evaluated: </w:t>
      </w:r>
    </w:p>
    <w:p w14:paraId="75F5EC45" w14:textId="6AD32559" w:rsidR="00A41A07" w:rsidRPr="006E42F9" w:rsidRDefault="00A41A07" w:rsidP="006E42F9">
      <w:pPr>
        <w:pStyle w:val="ListParagraph"/>
        <w:numPr>
          <w:ilvl w:val="0"/>
          <w:numId w:val="26"/>
        </w:numPr>
        <w:spacing w:line="260" w:lineRule="atLeast"/>
        <w:ind w:left="425" w:hanging="425"/>
        <w:rPr>
          <w:rStyle w:val="Emphasis"/>
          <w:i w:val="0"/>
          <w:color w:val="000000" w:themeColor="text1"/>
          <w:sz w:val="22"/>
          <w:szCs w:val="22"/>
        </w:rPr>
      </w:pPr>
      <w:r w:rsidRPr="006E42F9">
        <w:rPr>
          <w:rStyle w:val="Emphasis"/>
          <w:i w:val="0"/>
          <w:color w:val="000000" w:themeColor="text1"/>
          <w:sz w:val="22"/>
          <w:szCs w:val="22"/>
          <w:highlight w:val="yellow"/>
        </w:rPr>
        <w:t>Xxx</w:t>
      </w:r>
      <w:r w:rsidRPr="006E42F9">
        <w:rPr>
          <w:rStyle w:val="Emphasis"/>
          <w:i w:val="0"/>
          <w:color w:val="000000" w:themeColor="text1"/>
          <w:sz w:val="22"/>
          <w:szCs w:val="22"/>
        </w:rPr>
        <w:t xml:space="preserve"> (preferred supplier) </w:t>
      </w:r>
      <w:r w:rsidRPr="006E42F9">
        <w:rPr>
          <w:rStyle w:val="Emphasis"/>
          <w:iCs w:val="0"/>
          <w:color w:val="0000FF"/>
          <w:sz w:val="22"/>
          <w:szCs w:val="22"/>
        </w:rPr>
        <w:t>list in evaluation ranking order starting with the successful supplier</w:t>
      </w:r>
    </w:p>
    <w:p w14:paraId="0C01A7B6" w14:textId="77777777" w:rsidR="00816460" w:rsidRPr="006E42F9" w:rsidRDefault="00816460" w:rsidP="006E42F9">
      <w:pPr>
        <w:numPr>
          <w:ilvl w:val="0"/>
          <w:numId w:val="26"/>
        </w:numPr>
        <w:spacing w:line="260" w:lineRule="atLeast"/>
        <w:ind w:left="425" w:hanging="425"/>
        <w:rPr>
          <w:rStyle w:val="Emphasis"/>
          <w:i w:val="0"/>
          <w:sz w:val="22"/>
          <w:szCs w:val="22"/>
        </w:rPr>
      </w:pPr>
    </w:p>
    <w:p w14:paraId="368B9994" w14:textId="77777777" w:rsidR="00816460" w:rsidRPr="006E42F9" w:rsidRDefault="00816460" w:rsidP="006E42F9">
      <w:pPr>
        <w:numPr>
          <w:ilvl w:val="0"/>
          <w:numId w:val="26"/>
        </w:numPr>
        <w:spacing w:line="260" w:lineRule="atLeast"/>
        <w:ind w:left="425" w:hanging="425"/>
        <w:rPr>
          <w:rStyle w:val="Emphasis"/>
          <w:i w:val="0"/>
          <w:sz w:val="22"/>
          <w:szCs w:val="22"/>
        </w:rPr>
      </w:pPr>
    </w:p>
    <w:p w14:paraId="366FDD46" w14:textId="07A5B03C" w:rsidR="00816460" w:rsidRPr="006E42F9" w:rsidRDefault="00816460" w:rsidP="003D5AF3">
      <w:pPr>
        <w:spacing w:line="260" w:lineRule="atLeast"/>
        <w:rPr>
          <w:rStyle w:val="Emphasis"/>
          <w:i w:val="0"/>
          <w:sz w:val="22"/>
          <w:szCs w:val="22"/>
        </w:rPr>
      </w:pPr>
      <w:r w:rsidRPr="006E42F9">
        <w:rPr>
          <w:rStyle w:val="Emphasis"/>
          <w:i w:val="0"/>
          <w:sz w:val="22"/>
          <w:szCs w:val="22"/>
        </w:rPr>
        <w:t>The recommended preferred supplier</w:t>
      </w:r>
      <w:r w:rsidRPr="006E42F9">
        <w:rPr>
          <w:rStyle w:val="Emphasis"/>
          <w:i w:val="0"/>
          <w:sz w:val="22"/>
          <w:szCs w:val="22"/>
          <w:highlight w:val="yellow"/>
        </w:rPr>
        <w:t>(s) is/are</w:t>
      </w:r>
      <w:r w:rsidRPr="006E42F9">
        <w:rPr>
          <w:rStyle w:val="Emphasis"/>
          <w:i w:val="0"/>
          <w:sz w:val="22"/>
          <w:szCs w:val="22"/>
        </w:rPr>
        <w:t xml:space="preserve"> </w:t>
      </w:r>
      <w:r w:rsidRPr="006E42F9">
        <w:rPr>
          <w:rStyle w:val="Emphasis"/>
          <w:i w:val="0"/>
          <w:sz w:val="22"/>
          <w:szCs w:val="22"/>
          <w:highlight w:val="yellow"/>
        </w:rPr>
        <w:t>….</w:t>
      </w:r>
      <w:r w:rsidRPr="006E42F9">
        <w:rPr>
          <w:rStyle w:val="Emphasis"/>
          <w:i w:val="0"/>
          <w:sz w:val="22"/>
          <w:szCs w:val="22"/>
        </w:rPr>
        <w:t xml:space="preserve">. </w:t>
      </w:r>
      <w:proofErr w:type="gramStart"/>
      <w:r w:rsidRPr="006E42F9">
        <w:rPr>
          <w:rStyle w:val="Emphasis"/>
          <w:i w:val="0"/>
          <w:sz w:val="22"/>
          <w:szCs w:val="22"/>
        </w:rPr>
        <w:t>because</w:t>
      </w:r>
      <w:proofErr w:type="gramEnd"/>
      <w:r w:rsidRPr="006E42F9">
        <w:rPr>
          <w:rStyle w:val="Emphasis"/>
          <w:i w:val="0"/>
          <w:sz w:val="22"/>
          <w:szCs w:val="22"/>
        </w:rPr>
        <w:t xml:space="preserve"> </w:t>
      </w:r>
      <w:r w:rsidRPr="006E42F9">
        <w:rPr>
          <w:rStyle w:val="Emphasis"/>
          <w:i w:val="0"/>
          <w:sz w:val="22"/>
          <w:szCs w:val="22"/>
          <w:highlight w:val="yellow"/>
        </w:rPr>
        <w:t>…</w:t>
      </w:r>
    </w:p>
    <w:p w14:paraId="704608B9" w14:textId="0CBAA771" w:rsidR="00BB6A78" w:rsidRPr="006E42F9" w:rsidRDefault="00BB6A78" w:rsidP="003D5AF3">
      <w:pPr>
        <w:spacing w:line="260" w:lineRule="atLeast"/>
        <w:rPr>
          <w:rStyle w:val="Emphasis"/>
          <w:i w:val="0"/>
          <w:sz w:val="22"/>
          <w:szCs w:val="22"/>
        </w:rPr>
      </w:pPr>
      <w:r w:rsidRPr="006E42F9">
        <w:rPr>
          <w:rStyle w:val="Emphasis"/>
          <w:i w:val="0"/>
          <w:sz w:val="22"/>
          <w:szCs w:val="22"/>
        </w:rPr>
        <w:t xml:space="preserve">The services </w:t>
      </w:r>
      <w:r w:rsidR="008454E9" w:rsidRPr="006E42F9">
        <w:rPr>
          <w:rStyle w:val="Emphasis"/>
          <w:i w:val="0"/>
          <w:sz w:val="22"/>
          <w:szCs w:val="22"/>
        </w:rPr>
        <w:t xml:space="preserve">and arrangements </w:t>
      </w:r>
      <w:r w:rsidR="00D969DF" w:rsidRPr="006E42F9">
        <w:rPr>
          <w:rStyle w:val="Emphasis"/>
          <w:i w:val="0"/>
          <w:sz w:val="22"/>
          <w:szCs w:val="22"/>
        </w:rPr>
        <w:t>negotiated</w:t>
      </w:r>
      <w:r w:rsidRPr="006E42F9">
        <w:rPr>
          <w:rStyle w:val="Emphasis"/>
          <w:i w:val="0"/>
          <w:sz w:val="22"/>
          <w:szCs w:val="22"/>
        </w:rPr>
        <w:t xml:space="preserve"> with the preferred supplier</w:t>
      </w:r>
      <w:r w:rsidR="00E64EBA" w:rsidRPr="006E42F9">
        <w:rPr>
          <w:rStyle w:val="Emphasis"/>
          <w:i w:val="0"/>
          <w:sz w:val="22"/>
          <w:szCs w:val="22"/>
        </w:rPr>
        <w:t>/s</w:t>
      </w:r>
      <w:r w:rsidRPr="006E42F9">
        <w:rPr>
          <w:rStyle w:val="Emphasis"/>
          <w:i w:val="0"/>
          <w:sz w:val="22"/>
          <w:szCs w:val="22"/>
        </w:rPr>
        <w:t xml:space="preserve"> are as follows: </w:t>
      </w:r>
      <w:r w:rsidR="00812462" w:rsidRPr="006E42F9">
        <w:rPr>
          <w:rStyle w:val="Emphasis"/>
          <w:iCs w:val="0"/>
          <w:color w:val="0000FF"/>
          <w:sz w:val="22"/>
          <w:szCs w:val="22"/>
        </w:rPr>
        <w:t>list</w:t>
      </w:r>
    </w:p>
    <w:p w14:paraId="3B5A7F98" w14:textId="19DDCBC7" w:rsidR="00812462" w:rsidRPr="006E42F9" w:rsidRDefault="00812462" w:rsidP="003D5AF3">
      <w:pPr>
        <w:spacing w:line="260" w:lineRule="atLeast"/>
        <w:rPr>
          <w:rStyle w:val="Emphasis"/>
          <w:i w:val="0"/>
          <w:sz w:val="22"/>
          <w:szCs w:val="22"/>
        </w:rPr>
      </w:pPr>
      <w:r w:rsidRPr="006E42F9">
        <w:rPr>
          <w:rStyle w:val="Emphasis"/>
          <w:i w:val="0"/>
          <w:sz w:val="22"/>
          <w:szCs w:val="22"/>
        </w:rPr>
        <w:t xml:space="preserve">The proposed supplier payment terms are </w:t>
      </w:r>
      <w:r w:rsidRPr="006E42F9">
        <w:rPr>
          <w:rStyle w:val="Emphasis"/>
          <w:iCs w:val="0"/>
          <w:color w:val="0000FF"/>
          <w:sz w:val="22"/>
          <w:szCs w:val="22"/>
        </w:rPr>
        <w:t xml:space="preserve">base principle, </w:t>
      </w:r>
      <w:proofErr w:type="spellStart"/>
      <w:r w:rsidRPr="006E42F9">
        <w:rPr>
          <w:rStyle w:val="Emphasis"/>
          <w:iCs w:val="0"/>
          <w:color w:val="0000FF"/>
          <w:sz w:val="22"/>
          <w:szCs w:val="22"/>
        </w:rPr>
        <w:t>eg</w:t>
      </w:r>
      <w:proofErr w:type="spellEnd"/>
      <w:r w:rsidRPr="006E42F9">
        <w:rPr>
          <w:rStyle w:val="Emphasis"/>
          <w:iCs w:val="0"/>
          <w:color w:val="0000FF"/>
          <w:sz w:val="22"/>
          <w:szCs w:val="22"/>
        </w:rPr>
        <w:t xml:space="preserve"> tied to meeting of key milestones.</w:t>
      </w:r>
    </w:p>
    <w:p w14:paraId="49C99C2A" w14:textId="5E8FFA27" w:rsidR="00BB6A78" w:rsidRPr="006E42F9" w:rsidRDefault="00BB6A78" w:rsidP="003D5AF3">
      <w:pPr>
        <w:spacing w:line="260" w:lineRule="atLeast"/>
        <w:rPr>
          <w:rStyle w:val="Emphasis"/>
          <w:i w:val="0"/>
          <w:sz w:val="22"/>
          <w:szCs w:val="22"/>
        </w:rPr>
      </w:pPr>
      <w:r w:rsidRPr="006E42F9">
        <w:rPr>
          <w:rStyle w:val="Emphasis"/>
          <w:i w:val="0"/>
          <w:sz w:val="22"/>
          <w:szCs w:val="22"/>
        </w:rPr>
        <w:t xml:space="preserve">The </w:t>
      </w:r>
      <w:r w:rsidR="008E4170" w:rsidRPr="006E42F9">
        <w:rPr>
          <w:rStyle w:val="Emphasis"/>
          <w:i w:val="0"/>
          <w:sz w:val="22"/>
          <w:szCs w:val="22"/>
        </w:rPr>
        <w:t>key contract</w:t>
      </w:r>
      <w:r w:rsidRPr="006E42F9">
        <w:rPr>
          <w:rStyle w:val="Emphasis"/>
          <w:i w:val="0"/>
          <w:sz w:val="22"/>
          <w:szCs w:val="22"/>
        </w:rPr>
        <w:t xml:space="preserve"> risks are apportioned </w:t>
      </w:r>
      <w:r w:rsidR="00D969DF" w:rsidRPr="006E42F9">
        <w:rPr>
          <w:rStyle w:val="Emphasis"/>
          <w:i w:val="0"/>
          <w:sz w:val="22"/>
          <w:szCs w:val="22"/>
        </w:rPr>
        <w:t>as</w:t>
      </w:r>
      <w:r w:rsidR="00885F89" w:rsidRPr="006E42F9">
        <w:rPr>
          <w:rStyle w:val="Emphasis"/>
          <w:i w:val="0"/>
          <w:sz w:val="22"/>
          <w:szCs w:val="22"/>
        </w:rPr>
        <w:t xml:space="preserve"> shown in </w:t>
      </w:r>
      <w:hyperlink w:anchor="_Annex_4:_full" w:history="1">
        <w:r w:rsidR="00885F89" w:rsidRPr="006E42F9">
          <w:rPr>
            <w:rStyle w:val="Hyperlink"/>
            <w:szCs w:val="22"/>
          </w:rPr>
          <w:t>Annex 4</w:t>
        </w:r>
      </w:hyperlink>
      <w:r w:rsidR="00885F89" w:rsidRPr="006E42F9">
        <w:rPr>
          <w:rStyle w:val="Emphasis"/>
          <w:i w:val="0"/>
          <w:sz w:val="22"/>
          <w:szCs w:val="22"/>
        </w:rPr>
        <w:t xml:space="preserve">, based on which </w:t>
      </w:r>
      <w:r w:rsidR="00A41A07" w:rsidRPr="006E42F9">
        <w:rPr>
          <w:rStyle w:val="Emphasis"/>
          <w:i w:val="0"/>
          <w:sz w:val="22"/>
          <w:szCs w:val="22"/>
        </w:rPr>
        <w:t xml:space="preserve">organisation </w:t>
      </w:r>
      <w:r w:rsidR="00885F89" w:rsidRPr="006E42F9">
        <w:rPr>
          <w:rStyle w:val="Emphasis"/>
          <w:i w:val="0"/>
          <w:sz w:val="22"/>
          <w:szCs w:val="22"/>
        </w:rPr>
        <w:t xml:space="preserve">is best placed to </w:t>
      </w:r>
      <w:r w:rsidR="00497DB2" w:rsidRPr="006E42F9">
        <w:rPr>
          <w:rStyle w:val="Emphasis"/>
          <w:i w:val="0"/>
          <w:sz w:val="22"/>
          <w:szCs w:val="22"/>
        </w:rPr>
        <w:t>manage these risks.</w:t>
      </w:r>
    </w:p>
    <w:p w14:paraId="7467B8D6" w14:textId="77777777" w:rsidR="001442F9" w:rsidRPr="00D17BFC" w:rsidRDefault="001442F9" w:rsidP="006E4FDB">
      <w:pPr>
        <w:pStyle w:val="Heading2"/>
      </w:pPr>
      <w:bookmarkStart w:id="57" w:name="_Toc25746759"/>
      <w:bookmarkStart w:id="58" w:name="_Toc31266885"/>
      <w:r w:rsidRPr="00D17BFC">
        <w:t>Financial Case</w:t>
      </w:r>
      <w:bookmarkEnd w:id="57"/>
      <w:bookmarkEnd w:id="58"/>
    </w:p>
    <w:p w14:paraId="4A2AE659" w14:textId="4E28F9D6" w:rsidR="001442F9" w:rsidRDefault="001442F9" w:rsidP="009A19B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6F0D20">
        <w:rPr>
          <w:rStyle w:val="Emphasis"/>
          <w:u w:val="single"/>
        </w:rPr>
        <w:t>Summarise</w:t>
      </w:r>
      <w:r>
        <w:rPr>
          <w:rStyle w:val="Emphasis"/>
        </w:rPr>
        <w:t xml:space="preserve"> the overall affordability over the life of the proposed investment, including any additional </w:t>
      </w:r>
      <w:r w:rsidR="00E1381D">
        <w:rPr>
          <w:rStyle w:val="Emphasis"/>
        </w:rPr>
        <w:t xml:space="preserve">capital or operating </w:t>
      </w:r>
      <w:r>
        <w:rPr>
          <w:rStyle w:val="Emphasis"/>
        </w:rPr>
        <w:t>funding require</w:t>
      </w:r>
      <w:r w:rsidR="00E1381D">
        <w:rPr>
          <w:rStyle w:val="Emphasis"/>
        </w:rPr>
        <w:t xml:space="preserve">d, and </w:t>
      </w:r>
      <w:r>
        <w:rPr>
          <w:rStyle w:val="Emphasis"/>
        </w:rPr>
        <w:t>the primary funding sources</w:t>
      </w:r>
      <w:r w:rsidR="00E1381D">
        <w:rPr>
          <w:rStyle w:val="Emphasis"/>
        </w:rPr>
        <w:t xml:space="preserve">. </w:t>
      </w:r>
    </w:p>
    <w:p w14:paraId="5F6D3BE4" w14:textId="77777777" w:rsidR="00A41A07" w:rsidRDefault="007D21D4"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The Investment summary table must show the </w:t>
      </w:r>
      <w:r w:rsidR="0023118B">
        <w:rPr>
          <w:rStyle w:val="Emphasis"/>
        </w:rPr>
        <w:t xml:space="preserve">total </w:t>
      </w:r>
      <w:r w:rsidR="006C5F00">
        <w:rPr>
          <w:rStyle w:val="Emphasis"/>
        </w:rPr>
        <w:t>actual</w:t>
      </w:r>
      <w:r>
        <w:rPr>
          <w:rStyle w:val="Emphasis"/>
        </w:rPr>
        <w:t xml:space="preserve"> </w:t>
      </w:r>
      <w:r w:rsidR="001D6B53">
        <w:rPr>
          <w:rStyle w:val="Emphasis"/>
        </w:rPr>
        <w:t xml:space="preserve">project </w:t>
      </w:r>
      <w:r>
        <w:rPr>
          <w:rStyle w:val="Emphasis"/>
        </w:rPr>
        <w:t>spend to date,</w:t>
      </w:r>
      <w:r w:rsidR="000B1A64">
        <w:rPr>
          <w:rStyle w:val="Emphasis"/>
        </w:rPr>
        <w:t xml:space="preserve"> </w:t>
      </w:r>
      <w:bookmarkStart w:id="59" w:name="_Hlk50639295"/>
      <w:r w:rsidR="00A41A07">
        <w:rPr>
          <w:rStyle w:val="Emphasis"/>
        </w:rPr>
        <w:t xml:space="preserve">current </w:t>
      </w:r>
      <w:r w:rsidR="000B1A64">
        <w:rPr>
          <w:rStyle w:val="Emphasis"/>
        </w:rPr>
        <w:t>project cost</w:t>
      </w:r>
      <w:r w:rsidR="002316F9">
        <w:rPr>
          <w:rStyle w:val="Emphasis"/>
        </w:rPr>
        <w:t xml:space="preserve"> estimates</w:t>
      </w:r>
      <w:r w:rsidR="000B1A64">
        <w:rPr>
          <w:rStyle w:val="Emphasis"/>
        </w:rPr>
        <w:t xml:space="preserve"> and contingency estimates</w:t>
      </w:r>
      <w:r w:rsidR="004A30E2">
        <w:rPr>
          <w:rStyle w:val="Emphasis"/>
        </w:rPr>
        <w:t xml:space="preserve"> to complete the proposed scope</w:t>
      </w:r>
      <w:r w:rsidR="000B1A64">
        <w:rPr>
          <w:rStyle w:val="Emphasis"/>
        </w:rPr>
        <w:t>,</w:t>
      </w:r>
      <w:r>
        <w:rPr>
          <w:rStyle w:val="Emphasis"/>
        </w:rPr>
        <w:t xml:space="preserve"> </w:t>
      </w:r>
      <w:r w:rsidR="0023118B">
        <w:rPr>
          <w:rStyle w:val="Emphasis"/>
        </w:rPr>
        <w:t>any additional whole-of-life operating cost estimates</w:t>
      </w:r>
      <w:r w:rsidR="004A30E2">
        <w:rPr>
          <w:rStyle w:val="Emphasis"/>
        </w:rPr>
        <w:t xml:space="preserve">, and </w:t>
      </w:r>
      <w:r>
        <w:rPr>
          <w:rStyle w:val="Emphasis"/>
        </w:rPr>
        <w:t xml:space="preserve">the total </w:t>
      </w:r>
      <w:proofErr w:type="spellStart"/>
      <w:r w:rsidR="004A30E2">
        <w:rPr>
          <w:rStyle w:val="Emphasis"/>
        </w:rPr>
        <w:t>W</w:t>
      </w:r>
      <w:r w:rsidR="00A41A07">
        <w:rPr>
          <w:rStyle w:val="Emphasis"/>
        </w:rPr>
        <w:t>o</w:t>
      </w:r>
      <w:r w:rsidR="004A30E2">
        <w:rPr>
          <w:rStyle w:val="Emphasis"/>
        </w:rPr>
        <w:t>L</w:t>
      </w:r>
      <w:r w:rsidR="00A41A07">
        <w:rPr>
          <w:rStyle w:val="Emphasis"/>
        </w:rPr>
        <w:t>C</w:t>
      </w:r>
      <w:proofErr w:type="spellEnd"/>
      <w:r w:rsidR="004A30E2">
        <w:rPr>
          <w:rStyle w:val="Emphasis"/>
        </w:rPr>
        <w:t xml:space="preserve"> estimate</w:t>
      </w:r>
      <w:bookmarkEnd w:id="59"/>
      <w:r w:rsidR="004A30E2">
        <w:rPr>
          <w:rStyle w:val="Emphasis"/>
        </w:rPr>
        <w:t xml:space="preserve"> from</w:t>
      </w:r>
      <w:r>
        <w:rPr>
          <w:rStyle w:val="Emphasis"/>
        </w:rPr>
        <w:t xml:space="preserve"> the previous </w:t>
      </w:r>
      <w:r w:rsidR="004A30E2">
        <w:rPr>
          <w:rStyle w:val="Emphasis"/>
        </w:rPr>
        <w:t xml:space="preserve">approved </w:t>
      </w:r>
      <w:r>
        <w:rPr>
          <w:rStyle w:val="Emphasis"/>
        </w:rPr>
        <w:t>business case (Detailed BC or Single-stage BC).</w:t>
      </w:r>
      <w:r w:rsidR="00092D17">
        <w:rPr>
          <w:rStyle w:val="Emphasis"/>
        </w:rPr>
        <w:t xml:space="preserve"> </w:t>
      </w:r>
    </w:p>
    <w:p w14:paraId="15056D79" w14:textId="50A184B7" w:rsidR="007D21D4" w:rsidRDefault="00092D17"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If the scope of the current business case is less than the previous business case, </w:t>
      </w:r>
      <w:r w:rsidR="00D35B36">
        <w:rPr>
          <w:rStyle w:val="Emphasis"/>
        </w:rPr>
        <w:t>show the</w:t>
      </w:r>
      <w:r>
        <w:rPr>
          <w:rStyle w:val="Emphasis"/>
        </w:rPr>
        <w:t xml:space="preserve"> previously approved costs for the equivalent scope.</w:t>
      </w:r>
      <w:r w:rsidR="007D21D4">
        <w:rPr>
          <w:rStyle w:val="Emphasis"/>
        </w:rPr>
        <w:t xml:space="preserve"> </w:t>
      </w:r>
      <w:r w:rsidR="007D21D4" w:rsidRPr="007D21D4">
        <w:rPr>
          <w:rStyle w:val="Emphasis"/>
        </w:rPr>
        <w:t xml:space="preserve">If the </w:t>
      </w:r>
      <w:r w:rsidR="007D21D4">
        <w:rPr>
          <w:rStyle w:val="Emphasis"/>
        </w:rPr>
        <w:t>total investment</w:t>
      </w:r>
      <w:r w:rsidR="007D21D4" w:rsidRPr="007D21D4">
        <w:rPr>
          <w:rStyle w:val="Emphasis"/>
        </w:rPr>
        <w:t xml:space="preserve"> </w:t>
      </w:r>
      <w:r w:rsidR="007D21D4">
        <w:rPr>
          <w:rStyle w:val="Emphasis"/>
        </w:rPr>
        <w:t>is higher than the previously approved BC and project budget, then</w:t>
      </w:r>
      <w:r w:rsidR="007D21D4" w:rsidRPr="007D21D4">
        <w:rPr>
          <w:rStyle w:val="Emphasis"/>
        </w:rPr>
        <w:t xml:space="preserve"> it may be necessary to </w:t>
      </w:r>
      <w:r w:rsidR="007D21D4">
        <w:rPr>
          <w:rStyle w:val="Emphasis"/>
        </w:rPr>
        <w:t>review the pathway for approval – for significant investment</w:t>
      </w:r>
      <w:r w:rsidR="00562F11">
        <w:rPr>
          <w:rStyle w:val="Emphasis"/>
        </w:rPr>
        <w:t>s</w:t>
      </w:r>
      <w:r w:rsidR="007D21D4">
        <w:rPr>
          <w:rStyle w:val="Emphasis"/>
        </w:rPr>
        <w:t xml:space="preserve"> discuss this with Treasury. </w:t>
      </w:r>
      <w:r w:rsidR="007D21D4" w:rsidRPr="007D21D4">
        <w:rPr>
          <w:rStyle w:val="Emphasis"/>
        </w:rPr>
        <w:t>Th</w:t>
      </w:r>
      <w:r w:rsidR="00D20F9F">
        <w:rPr>
          <w:rStyle w:val="Emphasis"/>
        </w:rPr>
        <w:t>e</w:t>
      </w:r>
      <w:r w:rsidR="007D21D4" w:rsidRPr="007D21D4">
        <w:rPr>
          <w:rStyle w:val="Emphasis"/>
        </w:rPr>
        <w:t xml:space="preserve"> information</w:t>
      </w:r>
      <w:r w:rsidR="00D20F9F">
        <w:rPr>
          <w:rStyle w:val="Emphasis"/>
        </w:rPr>
        <w:t xml:space="preserve"> in this table</w:t>
      </w:r>
      <w:r w:rsidR="007D21D4" w:rsidRPr="007D21D4">
        <w:rPr>
          <w:rStyle w:val="Emphasis"/>
        </w:rPr>
        <w:t xml:space="preserve"> </w:t>
      </w:r>
      <w:r w:rsidR="00C11831">
        <w:rPr>
          <w:rStyle w:val="Emphasis"/>
        </w:rPr>
        <w:t xml:space="preserve">may </w:t>
      </w:r>
      <w:r w:rsidR="00D20F9F">
        <w:rPr>
          <w:rStyle w:val="Emphasis"/>
        </w:rPr>
        <w:t>also assist with refining</w:t>
      </w:r>
      <w:r w:rsidR="007D21D4" w:rsidRPr="007D21D4">
        <w:rPr>
          <w:rStyle w:val="Emphasis"/>
        </w:rPr>
        <w:t xml:space="preserve"> estimating methods for future projects by exposing optimism bias and </w:t>
      </w:r>
      <w:r w:rsidR="00613F28">
        <w:rPr>
          <w:rStyle w:val="Emphasis"/>
        </w:rPr>
        <w:t>risk/</w:t>
      </w:r>
      <w:r w:rsidR="00C11831">
        <w:rPr>
          <w:rStyle w:val="Emphasis"/>
        </w:rPr>
        <w:t>contingenc</w:t>
      </w:r>
      <w:r w:rsidR="00367947">
        <w:rPr>
          <w:rStyle w:val="Emphasis"/>
        </w:rPr>
        <w:t>y estimation methods</w:t>
      </w:r>
      <w:r w:rsidR="007D21D4" w:rsidRPr="007D21D4">
        <w:rPr>
          <w:rStyle w:val="Emphasis"/>
        </w:rPr>
        <w:t>.</w:t>
      </w:r>
    </w:p>
    <w:p w14:paraId="5E0712CA" w14:textId="2464CF8D" w:rsidR="00823377" w:rsidRPr="00EC0F52" w:rsidRDefault="00823377" w:rsidP="00414BEF">
      <w:pPr>
        <w:keepNext/>
        <w:spacing w:after="60" w:line="240" w:lineRule="auto"/>
        <w:rPr>
          <w:sz w:val="20"/>
        </w:rPr>
      </w:pPr>
      <w:r w:rsidRPr="00EC0F52">
        <w:rPr>
          <w:b/>
          <w:sz w:val="20"/>
        </w:rPr>
        <w:t xml:space="preserve">Table </w:t>
      </w:r>
      <w:r>
        <w:rPr>
          <w:b/>
          <w:sz w:val="20"/>
          <w:shd w:val="clear" w:color="auto" w:fill="FFFF00"/>
        </w:rPr>
        <w:t>1</w:t>
      </w:r>
      <w:r w:rsidRPr="00EC0F52">
        <w:rPr>
          <w:b/>
          <w:sz w:val="20"/>
        </w:rPr>
        <w:t>:</w:t>
      </w:r>
      <w:r w:rsidRPr="00EC0F52">
        <w:rPr>
          <w:sz w:val="20"/>
        </w:rPr>
        <w:t xml:space="preserve"> </w:t>
      </w:r>
      <w:r>
        <w:rPr>
          <w:sz w:val="20"/>
        </w:rPr>
        <w:t>Investment summary</w:t>
      </w:r>
      <w:r w:rsidRPr="00EC0F52">
        <w:rPr>
          <w:sz w:val="20"/>
        </w:rPr>
        <w:t xml:space="preserve"> table </w:t>
      </w:r>
      <w:r>
        <w:rPr>
          <w:sz w:val="20"/>
        </w:rPr>
        <w:t>(</w:t>
      </w:r>
      <w:proofErr w:type="spellStart"/>
      <w:r w:rsidR="00B02B47">
        <w:rPr>
          <w:sz w:val="20"/>
        </w:rPr>
        <w:t>WoL</w:t>
      </w:r>
      <w:r w:rsidR="00A41A07">
        <w:rPr>
          <w:sz w:val="20"/>
        </w:rPr>
        <w:t>C</w:t>
      </w:r>
      <w:proofErr w:type="spellEnd"/>
      <w:r w:rsidR="00B02B47">
        <w:rPr>
          <w:sz w:val="20"/>
        </w:rPr>
        <w:t xml:space="preserve">, </w:t>
      </w:r>
      <w:r w:rsidR="00256CC4">
        <w:rPr>
          <w:sz w:val="20"/>
        </w:rPr>
        <w:t>$m</w:t>
      </w:r>
      <w:r>
        <w:rPr>
          <w:sz w:val="20"/>
        </w:rPr>
        <w:t>)</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3657"/>
        <w:gridCol w:w="1559"/>
        <w:gridCol w:w="1134"/>
        <w:gridCol w:w="1134"/>
        <w:gridCol w:w="1872"/>
      </w:tblGrid>
      <w:tr w:rsidR="00823377" w:rsidRPr="003D08B1" w14:paraId="2AAA4037" w14:textId="77777777" w:rsidTr="006E42F9">
        <w:trPr>
          <w:cantSplit/>
          <w:trHeight w:val="77"/>
        </w:trPr>
        <w:tc>
          <w:tcPr>
            <w:tcW w:w="3657" w:type="dxa"/>
            <w:shd w:val="clear" w:color="auto" w:fill="DEEAF5"/>
            <w:vAlign w:val="bottom"/>
          </w:tcPr>
          <w:p w14:paraId="5068ACAB" w14:textId="1E356101" w:rsidR="00823377" w:rsidRPr="009B3F33" w:rsidRDefault="00823377" w:rsidP="00B0578D">
            <w:pPr>
              <w:pStyle w:val="TableHeading"/>
              <w:keepNext/>
              <w:spacing w:before="40" w:after="40"/>
              <w:rPr>
                <w:sz w:val="18"/>
              </w:rPr>
            </w:pPr>
            <w:r w:rsidRPr="009B3F33">
              <w:rPr>
                <w:sz w:val="18"/>
              </w:rPr>
              <w:t>C</w:t>
            </w:r>
            <w:r w:rsidR="0011283A">
              <w:rPr>
                <w:sz w:val="18"/>
              </w:rPr>
              <w:t>urrent c</w:t>
            </w:r>
            <w:r w:rsidRPr="009B3F33">
              <w:rPr>
                <w:sz w:val="18"/>
              </w:rPr>
              <w:t>ost estimates</w:t>
            </w:r>
          </w:p>
        </w:tc>
        <w:tc>
          <w:tcPr>
            <w:tcW w:w="1559" w:type="dxa"/>
            <w:shd w:val="clear" w:color="auto" w:fill="DEEAF5"/>
            <w:vAlign w:val="center"/>
          </w:tcPr>
          <w:p w14:paraId="5AB4FB6E" w14:textId="77777777" w:rsidR="00823377" w:rsidRPr="003D08B1" w:rsidRDefault="00823377" w:rsidP="00D0019D">
            <w:pPr>
              <w:pStyle w:val="TableHeading"/>
              <w:keepNext/>
              <w:spacing w:after="0"/>
              <w:jc w:val="right"/>
              <w:rPr>
                <w:sz w:val="18"/>
              </w:rPr>
            </w:pPr>
            <w:r>
              <w:rPr>
                <w:sz w:val="18"/>
              </w:rPr>
              <w:t>$m</w:t>
            </w:r>
          </w:p>
        </w:tc>
        <w:tc>
          <w:tcPr>
            <w:tcW w:w="1134" w:type="dxa"/>
            <w:shd w:val="clear" w:color="auto" w:fill="DEEAF5"/>
            <w:vAlign w:val="center"/>
          </w:tcPr>
          <w:p w14:paraId="6C1E8699" w14:textId="77777777" w:rsidR="00823377" w:rsidRPr="003D08B1" w:rsidRDefault="00823377" w:rsidP="00D0019D">
            <w:pPr>
              <w:pStyle w:val="TableHeading"/>
              <w:keepNext/>
              <w:spacing w:after="0"/>
              <w:jc w:val="center"/>
              <w:rPr>
                <w:sz w:val="18"/>
              </w:rPr>
            </w:pPr>
            <w:r>
              <w:rPr>
                <w:sz w:val="18"/>
              </w:rPr>
              <w:t>Capex</w:t>
            </w:r>
          </w:p>
        </w:tc>
        <w:tc>
          <w:tcPr>
            <w:tcW w:w="1134" w:type="dxa"/>
            <w:shd w:val="clear" w:color="auto" w:fill="DEEAF5"/>
            <w:vAlign w:val="center"/>
          </w:tcPr>
          <w:p w14:paraId="6A1E7B0A" w14:textId="77777777" w:rsidR="00823377" w:rsidRPr="003D08B1" w:rsidRDefault="00823377" w:rsidP="00D0019D">
            <w:pPr>
              <w:pStyle w:val="TableHeading"/>
              <w:keepNext/>
              <w:spacing w:after="0"/>
              <w:jc w:val="center"/>
              <w:rPr>
                <w:sz w:val="18"/>
              </w:rPr>
            </w:pPr>
            <w:proofErr w:type="spellStart"/>
            <w:r>
              <w:rPr>
                <w:sz w:val="18"/>
              </w:rPr>
              <w:t>Opex</w:t>
            </w:r>
            <w:proofErr w:type="spellEnd"/>
          </w:p>
        </w:tc>
        <w:tc>
          <w:tcPr>
            <w:tcW w:w="1872" w:type="dxa"/>
            <w:shd w:val="clear" w:color="auto" w:fill="DEEAF5"/>
            <w:vAlign w:val="center"/>
          </w:tcPr>
          <w:p w14:paraId="2E63185C" w14:textId="77777777" w:rsidR="00823377" w:rsidRPr="003D08B1" w:rsidRDefault="00823377" w:rsidP="00D0019D">
            <w:pPr>
              <w:pStyle w:val="TableHeading"/>
              <w:keepNext/>
              <w:spacing w:after="0"/>
              <w:jc w:val="center"/>
              <w:rPr>
                <w:sz w:val="18"/>
              </w:rPr>
            </w:pPr>
            <w:r w:rsidRPr="003D08B1">
              <w:rPr>
                <w:sz w:val="18"/>
              </w:rPr>
              <w:t>Total</w:t>
            </w:r>
          </w:p>
        </w:tc>
      </w:tr>
      <w:tr w:rsidR="00823377" w:rsidRPr="006F4513" w14:paraId="6C71B3DD" w14:textId="77777777" w:rsidTr="006E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3657" w:type="dxa"/>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606E39B2" w14:textId="77777777" w:rsidR="00823377" w:rsidRPr="006F4513" w:rsidRDefault="00823377" w:rsidP="00D0019D">
            <w:pPr>
              <w:keepNext/>
              <w:spacing w:after="0"/>
              <w:rPr>
                <w:color w:val="000000"/>
                <w:sz w:val="18"/>
                <w:szCs w:val="18"/>
                <w:lang w:val="en-NZ" w:eastAsia="en-NZ"/>
              </w:rPr>
            </w:pPr>
            <w:r w:rsidRPr="006F4513">
              <w:rPr>
                <w:color w:val="000000"/>
                <w:sz w:val="18"/>
                <w:szCs w:val="16"/>
                <w:lang w:val="en-NZ" w:eastAsia="en-NZ"/>
              </w:rPr>
              <w:t xml:space="preserve">Actual </w:t>
            </w:r>
            <w:r>
              <w:rPr>
                <w:color w:val="000000"/>
                <w:sz w:val="18"/>
                <w:szCs w:val="16"/>
                <w:lang w:val="en-NZ" w:eastAsia="en-NZ"/>
              </w:rPr>
              <w:t>project spend</w:t>
            </w:r>
            <w:r w:rsidRPr="006F4513">
              <w:rPr>
                <w:color w:val="000000"/>
                <w:sz w:val="18"/>
                <w:szCs w:val="16"/>
                <w:lang w:val="en-NZ" w:eastAsia="en-NZ"/>
              </w:rPr>
              <w:t xml:space="preserve"> to date</w:t>
            </w:r>
            <w:r>
              <w:rPr>
                <w:color w:val="000000"/>
                <w:sz w:val="18"/>
                <w:szCs w:val="16"/>
                <w:lang w:val="en-NZ" w:eastAsia="en-NZ"/>
              </w:rPr>
              <w:t>:</w:t>
            </w:r>
          </w:p>
        </w:tc>
        <w:tc>
          <w:tcPr>
            <w:tcW w:w="1559" w:type="dxa"/>
            <w:tcBorders>
              <w:top w:val="single" w:sz="8" w:space="0" w:color="DCE6F1"/>
              <w:left w:val="nil"/>
              <w:bottom w:val="single" w:sz="8" w:space="0" w:color="DCE6F1"/>
              <w:right w:val="single" w:sz="8" w:space="0" w:color="DCE6F1"/>
            </w:tcBorders>
            <w:shd w:val="clear" w:color="auto" w:fill="DEEAF5"/>
            <w:vAlign w:val="center"/>
          </w:tcPr>
          <w:p w14:paraId="7FA858F2" w14:textId="77777777" w:rsidR="00823377" w:rsidRPr="006F4513" w:rsidRDefault="00823377" w:rsidP="00D0019D">
            <w:pPr>
              <w:keepNext/>
              <w:spacing w:after="0"/>
              <w:rPr>
                <w:color w:val="000000"/>
                <w:sz w:val="18"/>
                <w:szCs w:val="18"/>
                <w:lang w:val="en-NZ" w:eastAsia="en-NZ"/>
              </w:rPr>
            </w:pPr>
            <w:r w:rsidRPr="00482953">
              <w:rPr>
                <w:color w:val="000000"/>
                <w:sz w:val="18"/>
                <w:szCs w:val="18"/>
                <w:highlight w:val="yellow"/>
                <w:lang w:val="en-NZ" w:eastAsia="en-NZ"/>
              </w:rPr>
              <w:t>at xx-20xx</w:t>
            </w:r>
          </w:p>
        </w:tc>
        <w:tc>
          <w:tcPr>
            <w:tcW w:w="1134" w:type="dxa"/>
            <w:tcBorders>
              <w:top w:val="single" w:sz="8" w:space="0" w:color="DCE6F1"/>
              <w:left w:val="nil"/>
              <w:bottom w:val="single" w:sz="8" w:space="0" w:color="DCE6F1"/>
              <w:right w:val="single" w:sz="8" w:space="0" w:color="DCE6F1"/>
            </w:tcBorders>
            <w:shd w:val="clear" w:color="000000" w:fill="FFFFFF"/>
            <w:vAlign w:val="center"/>
          </w:tcPr>
          <w:p w14:paraId="786942B5" w14:textId="77777777" w:rsidR="00823377" w:rsidRPr="006F4513" w:rsidRDefault="00823377" w:rsidP="00D0019D">
            <w:pPr>
              <w:keepNext/>
              <w:spacing w:after="0"/>
              <w:jc w:val="right"/>
              <w:rPr>
                <w:color w:val="000000"/>
                <w:sz w:val="20"/>
                <w:lang w:val="en-NZ" w:eastAsia="en-NZ"/>
              </w:rPr>
            </w:pPr>
          </w:p>
        </w:tc>
        <w:tc>
          <w:tcPr>
            <w:tcW w:w="1134" w:type="dxa"/>
            <w:tcBorders>
              <w:top w:val="single" w:sz="8" w:space="0" w:color="DCE6F1"/>
              <w:left w:val="nil"/>
              <w:bottom w:val="single" w:sz="8" w:space="0" w:color="DCE6F1"/>
              <w:right w:val="single" w:sz="8" w:space="0" w:color="DCE6F1"/>
            </w:tcBorders>
            <w:shd w:val="clear" w:color="auto" w:fill="auto"/>
            <w:vAlign w:val="center"/>
          </w:tcPr>
          <w:p w14:paraId="79311143" w14:textId="77777777" w:rsidR="00823377" w:rsidRPr="006F4513" w:rsidRDefault="00823377" w:rsidP="00D0019D">
            <w:pPr>
              <w:keepNext/>
              <w:spacing w:after="0"/>
              <w:jc w:val="right"/>
              <w:rPr>
                <w:color w:val="000000"/>
                <w:sz w:val="20"/>
                <w:lang w:val="en-NZ" w:eastAsia="en-NZ"/>
              </w:rPr>
            </w:pPr>
          </w:p>
        </w:tc>
        <w:tc>
          <w:tcPr>
            <w:tcW w:w="1872" w:type="dxa"/>
            <w:tcBorders>
              <w:top w:val="single" w:sz="8" w:space="0" w:color="DCE6F1"/>
              <w:left w:val="nil"/>
              <w:bottom w:val="single" w:sz="8" w:space="0" w:color="DCE6F1"/>
              <w:right w:val="single" w:sz="8" w:space="0" w:color="DCE6F1"/>
            </w:tcBorders>
            <w:shd w:val="clear" w:color="auto" w:fill="auto"/>
            <w:noWrap/>
            <w:vAlign w:val="center"/>
          </w:tcPr>
          <w:p w14:paraId="6A702CC0" w14:textId="77777777" w:rsidR="00823377" w:rsidRPr="006F4513" w:rsidRDefault="00823377" w:rsidP="00D0019D">
            <w:pPr>
              <w:keepNext/>
              <w:spacing w:after="0"/>
              <w:jc w:val="right"/>
              <w:rPr>
                <w:color w:val="000000"/>
                <w:sz w:val="20"/>
                <w:lang w:val="en-NZ" w:eastAsia="en-NZ"/>
              </w:rPr>
            </w:pPr>
            <w:r>
              <w:rPr>
                <w:color w:val="000000"/>
                <w:sz w:val="20"/>
                <w:lang w:val="en-NZ" w:eastAsia="en-NZ"/>
              </w:rPr>
              <w:t>0</w:t>
            </w:r>
          </w:p>
        </w:tc>
      </w:tr>
      <w:tr w:rsidR="00823377" w:rsidRPr="006F4513" w14:paraId="7078F1A1" w14:textId="77777777" w:rsidTr="006E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610E17A0" w14:textId="77777777" w:rsidR="00823377" w:rsidRPr="006F4513" w:rsidRDefault="00823377" w:rsidP="00D0019D">
            <w:pPr>
              <w:keepNext/>
              <w:spacing w:after="0"/>
              <w:rPr>
                <w:color w:val="000000"/>
                <w:sz w:val="18"/>
                <w:szCs w:val="18"/>
                <w:lang w:val="en-NZ" w:eastAsia="en-NZ"/>
              </w:rPr>
            </w:pPr>
            <w:r>
              <w:rPr>
                <w:color w:val="000000"/>
                <w:sz w:val="18"/>
                <w:szCs w:val="16"/>
                <w:lang w:val="en-NZ" w:eastAsia="en-NZ"/>
              </w:rPr>
              <w:t>Estimate to complete</w:t>
            </w:r>
            <w:r w:rsidRPr="006F4513">
              <w:rPr>
                <w:color w:val="000000"/>
                <w:sz w:val="18"/>
                <w:szCs w:val="16"/>
                <w:lang w:val="en-NZ" w:eastAsia="en-NZ"/>
              </w:rPr>
              <w:t xml:space="preserve"> </w:t>
            </w:r>
            <w:r>
              <w:rPr>
                <w:color w:val="000000"/>
                <w:sz w:val="18"/>
                <w:szCs w:val="16"/>
                <w:lang w:val="en-NZ" w:eastAsia="en-NZ"/>
              </w:rPr>
              <w:t xml:space="preserve">this project </w:t>
            </w:r>
            <w:r w:rsidRPr="006F4513">
              <w:rPr>
                <w:color w:val="000000"/>
                <w:sz w:val="18"/>
                <w:szCs w:val="16"/>
                <w:lang w:val="en-NZ" w:eastAsia="en-NZ"/>
              </w:rPr>
              <w:t>(all phases)</w:t>
            </w:r>
            <w:r>
              <w:rPr>
                <w:color w:val="000000"/>
                <w:sz w:val="18"/>
                <w:szCs w:val="16"/>
                <w:lang w:val="en-NZ" w:eastAsia="en-NZ"/>
              </w:rPr>
              <w:t>:</w:t>
            </w:r>
          </w:p>
        </w:tc>
        <w:tc>
          <w:tcPr>
            <w:tcW w:w="1134" w:type="dxa"/>
            <w:tcBorders>
              <w:top w:val="nil"/>
              <w:left w:val="nil"/>
              <w:bottom w:val="single" w:sz="8" w:space="0" w:color="DCE6F1"/>
              <w:right w:val="single" w:sz="8" w:space="0" w:color="DCE6F1"/>
            </w:tcBorders>
            <w:shd w:val="clear" w:color="000000" w:fill="FFFFFF"/>
            <w:noWrap/>
            <w:vAlign w:val="center"/>
          </w:tcPr>
          <w:p w14:paraId="74AD3627" w14:textId="77777777" w:rsidR="00823377" w:rsidRPr="006F4513" w:rsidRDefault="00823377" w:rsidP="00D0019D">
            <w:pPr>
              <w:keepNext/>
              <w:spacing w:after="0"/>
              <w:jc w:val="right"/>
              <w:rPr>
                <w:color w:val="000000"/>
                <w:sz w:val="20"/>
                <w:lang w:val="en-NZ" w:eastAsia="en-NZ"/>
              </w:rPr>
            </w:pPr>
          </w:p>
        </w:tc>
        <w:tc>
          <w:tcPr>
            <w:tcW w:w="1134" w:type="dxa"/>
            <w:tcBorders>
              <w:top w:val="nil"/>
              <w:left w:val="nil"/>
              <w:bottom w:val="single" w:sz="8" w:space="0" w:color="DCE6F1"/>
              <w:right w:val="single" w:sz="8" w:space="0" w:color="DCE6F1"/>
            </w:tcBorders>
            <w:shd w:val="clear" w:color="auto" w:fill="auto"/>
            <w:noWrap/>
            <w:vAlign w:val="center"/>
          </w:tcPr>
          <w:p w14:paraId="34037EFD" w14:textId="77777777" w:rsidR="00823377" w:rsidRPr="006F4513" w:rsidRDefault="00823377" w:rsidP="00D0019D">
            <w:pPr>
              <w:keepNext/>
              <w:spacing w:after="0"/>
              <w:jc w:val="right"/>
              <w:rPr>
                <w:color w:val="000000"/>
                <w:sz w:val="20"/>
                <w:lang w:val="en-NZ" w:eastAsia="en-NZ"/>
              </w:rPr>
            </w:pPr>
          </w:p>
        </w:tc>
        <w:tc>
          <w:tcPr>
            <w:tcW w:w="1872" w:type="dxa"/>
            <w:tcBorders>
              <w:top w:val="nil"/>
              <w:left w:val="nil"/>
              <w:bottom w:val="single" w:sz="8" w:space="0" w:color="DCE6F1"/>
              <w:right w:val="single" w:sz="8" w:space="0" w:color="DCE6F1"/>
            </w:tcBorders>
            <w:shd w:val="clear" w:color="auto" w:fill="auto"/>
            <w:noWrap/>
            <w:vAlign w:val="center"/>
          </w:tcPr>
          <w:p w14:paraId="052B7D77" w14:textId="77777777" w:rsidR="00823377" w:rsidRPr="006F4513" w:rsidRDefault="00823377" w:rsidP="00D0019D">
            <w:pPr>
              <w:keepNext/>
              <w:spacing w:after="0"/>
              <w:jc w:val="right"/>
              <w:rPr>
                <w:color w:val="000000"/>
                <w:sz w:val="20"/>
                <w:lang w:val="en-NZ" w:eastAsia="en-NZ"/>
              </w:rPr>
            </w:pPr>
            <w:r>
              <w:rPr>
                <w:color w:val="000000"/>
                <w:sz w:val="20"/>
                <w:lang w:val="en-NZ" w:eastAsia="en-NZ"/>
              </w:rPr>
              <w:t>0</w:t>
            </w:r>
          </w:p>
        </w:tc>
      </w:tr>
      <w:tr w:rsidR="00B02B47" w:rsidRPr="006F4513" w14:paraId="7EEA6A3F" w14:textId="77777777" w:rsidTr="006E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56C10651" w14:textId="0A5C7C02" w:rsidR="00B02B47" w:rsidRPr="006F4513" w:rsidRDefault="00B02B47" w:rsidP="00B02B47">
            <w:pPr>
              <w:keepNext/>
              <w:spacing w:after="0"/>
              <w:rPr>
                <w:color w:val="000000"/>
                <w:sz w:val="18"/>
                <w:szCs w:val="18"/>
                <w:lang w:val="en-NZ" w:eastAsia="en-NZ"/>
              </w:rPr>
            </w:pPr>
            <w:r>
              <w:rPr>
                <w:color w:val="000000"/>
                <w:sz w:val="18"/>
                <w:szCs w:val="16"/>
                <w:lang w:val="en-NZ" w:eastAsia="en-NZ"/>
              </w:rPr>
              <w:t>Project c</w:t>
            </w:r>
            <w:r w:rsidRPr="006F4513">
              <w:rPr>
                <w:color w:val="000000"/>
                <w:sz w:val="18"/>
                <w:szCs w:val="16"/>
                <w:lang w:val="en-NZ" w:eastAsia="en-NZ"/>
              </w:rPr>
              <w:t>ontingency</w:t>
            </w:r>
            <w:r>
              <w:rPr>
                <w:color w:val="000000"/>
                <w:sz w:val="18"/>
                <w:szCs w:val="16"/>
                <w:lang w:val="en-NZ" w:eastAsia="en-NZ"/>
              </w:rPr>
              <w:t>:</w:t>
            </w:r>
          </w:p>
        </w:tc>
        <w:tc>
          <w:tcPr>
            <w:tcW w:w="1134" w:type="dxa"/>
            <w:tcBorders>
              <w:top w:val="nil"/>
              <w:left w:val="nil"/>
              <w:bottom w:val="single" w:sz="8" w:space="0" w:color="DCE6F1"/>
              <w:right w:val="single" w:sz="8" w:space="0" w:color="DCE6F1"/>
            </w:tcBorders>
            <w:shd w:val="clear" w:color="000000" w:fill="FFFFFF"/>
            <w:noWrap/>
            <w:vAlign w:val="center"/>
          </w:tcPr>
          <w:p w14:paraId="461C396D" w14:textId="77777777" w:rsidR="00B02B47" w:rsidRPr="006F4513" w:rsidRDefault="00B02B47" w:rsidP="00B02B47">
            <w:pPr>
              <w:keepNext/>
              <w:spacing w:after="0"/>
              <w:jc w:val="right"/>
              <w:rPr>
                <w:color w:val="000000"/>
                <w:sz w:val="20"/>
                <w:lang w:val="en-NZ" w:eastAsia="en-NZ"/>
              </w:rPr>
            </w:pPr>
          </w:p>
        </w:tc>
        <w:tc>
          <w:tcPr>
            <w:tcW w:w="1134" w:type="dxa"/>
            <w:tcBorders>
              <w:top w:val="nil"/>
              <w:left w:val="nil"/>
              <w:bottom w:val="single" w:sz="8" w:space="0" w:color="DCE6F1"/>
              <w:right w:val="single" w:sz="8" w:space="0" w:color="DCE6F1"/>
            </w:tcBorders>
            <w:shd w:val="clear" w:color="auto" w:fill="auto"/>
            <w:noWrap/>
            <w:vAlign w:val="center"/>
          </w:tcPr>
          <w:p w14:paraId="43D3E8EF" w14:textId="77777777" w:rsidR="00B02B47" w:rsidRPr="006F4513" w:rsidRDefault="00B02B47" w:rsidP="00B02B47">
            <w:pPr>
              <w:keepNext/>
              <w:spacing w:after="0"/>
              <w:jc w:val="right"/>
              <w:rPr>
                <w:color w:val="000000"/>
                <w:sz w:val="20"/>
                <w:lang w:val="en-NZ" w:eastAsia="en-NZ"/>
              </w:rPr>
            </w:pPr>
          </w:p>
        </w:tc>
        <w:tc>
          <w:tcPr>
            <w:tcW w:w="1872" w:type="dxa"/>
            <w:tcBorders>
              <w:top w:val="nil"/>
              <w:left w:val="nil"/>
              <w:bottom w:val="single" w:sz="8" w:space="0" w:color="DCE6F1"/>
              <w:right w:val="single" w:sz="8" w:space="0" w:color="DCE6F1"/>
            </w:tcBorders>
            <w:shd w:val="clear" w:color="auto" w:fill="auto"/>
            <w:noWrap/>
            <w:vAlign w:val="center"/>
          </w:tcPr>
          <w:p w14:paraId="339BE69A" w14:textId="77777777" w:rsidR="00B02B47" w:rsidRPr="006F4513" w:rsidRDefault="00B02B47" w:rsidP="00B02B47">
            <w:pPr>
              <w:keepNext/>
              <w:spacing w:after="0"/>
              <w:jc w:val="right"/>
              <w:rPr>
                <w:color w:val="000000"/>
                <w:sz w:val="20"/>
                <w:lang w:val="en-NZ" w:eastAsia="en-NZ"/>
              </w:rPr>
            </w:pPr>
            <w:r>
              <w:rPr>
                <w:color w:val="000000"/>
                <w:sz w:val="20"/>
                <w:lang w:val="en-NZ" w:eastAsia="en-NZ"/>
              </w:rPr>
              <w:t>0</w:t>
            </w:r>
          </w:p>
        </w:tc>
      </w:tr>
      <w:tr w:rsidR="00823377" w:rsidRPr="006F4513" w14:paraId="36071CC2" w14:textId="77777777" w:rsidTr="006E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auto"/>
              <w:right w:val="single" w:sz="8" w:space="0" w:color="DCE6F1"/>
            </w:tcBorders>
            <w:shd w:val="clear" w:color="auto" w:fill="DEEAF5"/>
            <w:noWrap/>
            <w:vAlign w:val="center"/>
          </w:tcPr>
          <w:p w14:paraId="6ADA9E8E" w14:textId="485E0D7D" w:rsidR="00823377" w:rsidRPr="006F4513" w:rsidRDefault="006C5F00" w:rsidP="006C5F00">
            <w:pPr>
              <w:keepNext/>
              <w:spacing w:after="0"/>
              <w:rPr>
                <w:color w:val="000000"/>
                <w:sz w:val="18"/>
                <w:szCs w:val="16"/>
                <w:lang w:val="en-NZ" w:eastAsia="en-NZ"/>
              </w:rPr>
            </w:pPr>
            <w:r>
              <w:rPr>
                <w:color w:val="000000"/>
                <w:sz w:val="18"/>
                <w:szCs w:val="16"/>
                <w:lang w:val="en-NZ" w:eastAsia="en-NZ"/>
              </w:rPr>
              <w:t>Other whole-of-life operating costs</w:t>
            </w:r>
            <w:r w:rsidR="00823377">
              <w:rPr>
                <w:color w:val="000000"/>
                <w:sz w:val="18"/>
                <w:szCs w:val="16"/>
                <w:lang w:val="en-NZ" w:eastAsia="en-NZ"/>
              </w:rPr>
              <w:t>:</w:t>
            </w:r>
          </w:p>
        </w:tc>
        <w:tc>
          <w:tcPr>
            <w:tcW w:w="1134" w:type="dxa"/>
            <w:tcBorders>
              <w:top w:val="nil"/>
              <w:left w:val="nil"/>
              <w:bottom w:val="single" w:sz="8" w:space="0" w:color="auto"/>
              <w:right w:val="single" w:sz="8" w:space="0" w:color="DCE6F1"/>
            </w:tcBorders>
            <w:shd w:val="clear" w:color="auto" w:fill="DEEAF6" w:themeFill="accent5" w:themeFillTint="33"/>
            <w:noWrap/>
            <w:vAlign w:val="center"/>
          </w:tcPr>
          <w:p w14:paraId="60018B2B" w14:textId="77777777" w:rsidR="00823377" w:rsidRPr="006F4513" w:rsidRDefault="00823377" w:rsidP="00D0019D">
            <w:pPr>
              <w:keepNext/>
              <w:spacing w:after="0"/>
              <w:jc w:val="right"/>
              <w:rPr>
                <w:color w:val="000000"/>
                <w:sz w:val="20"/>
                <w:lang w:val="en-NZ" w:eastAsia="en-NZ"/>
              </w:rPr>
            </w:pPr>
          </w:p>
        </w:tc>
        <w:tc>
          <w:tcPr>
            <w:tcW w:w="1134" w:type="dxa"/>
            <w:tcBorders>
              <w:top w:val="nil"/>
              <w:left w:val="nil"/>
              <w:bottom w:val="single" w:sz="8" w:space="0" w:color="auto"/>
              <w:right w:val="single" w:sz="8" w:space="0" w:color="DCE6F1"/>
            </w:tcBorders>
            <w:shd w:val="clear" w:color="auto" w:fill="auto"/>
            <w:noWrap/>
            <w:vAlign w:val="center"/>
          </w:tcPr>
          <w:p w14:paraId="3644EBE1" w14:textId="77777777" w:rsidR="00823377" w:rsidRPr="006F4513" w:rsidRDefault="00823377" w:rsidP="00D0019D">
            <w:pPr>
              <w:keepNext/>
              <w:spacing w:after="0"/>
              <w:jc w:val="right"/>
              <w:rPr>
                <w:color w:val="000000"/>
                <w:sz w:val="20"/>
                <w:lang w:val="en-NZ" w:eastAsia="en-NZ"/>
              </w:rPr>
            </w:pPr>
          </w:p>
        </w:tc>
        <w:tc>
          <w:tcPr>
            <w:tcW w:w="1872" w:type="dxa"/>
            <w:tcBorders>
              <w:top w:val="nil"/>
              <w:left w:val="nil"/>
              <w:bottom w:val="single" w:sz="8" w:space="0" w:color="auto"/>
              <w:right w:val="single" w:sz="8" w:space="0" w:color="DCE6F1"/>
            </w:tcBorders>
            <w:shd w:val="clear" w:color="auto" w:fill="auto"/>
            <w:noWrap/>
            <w:vAlign w:val="center"/>
          </w:tcPr>
          <w:p w14:paraId="0D19E8DD" w14:textId="77777777" w:rsidR="00823377" w:rsidRPr="006F4513" w:rsidRDefault="00823377" w:rsidP="00D0019D">
            <w:pPr>
              <w:keepNext/>
              <w:spacing w:after="0"/>
              <w:jc w:val="right"/>
              <w:rPr>
                <w:color w:val="000000"/>
                <w:sz w:val="20"/>
                <w:lang w:val="en-NZ" w:eastAsia="en-NZ"/>
              </w:rPr>
            </w:pPr>
            <w:r>
              <w:rPr>
                <w:color w:val="000000"/>
                <w:sz w:val="20"/>
                <w:lang w:val="en-NZ" w:eastAsia="en-NZ"/>
              </w:rPr>
              <w:t>0</w:t>
            </w:r>
          </w:p>
        </w:tc>
      </w:tr>
      <w:tr w:rsidR="00317A0D" w:rsidRPr="006F4513" w:rsidDel="0011283A" w14:paraId="278E5C02" w14:textId="77777777" w:rsidTr="006E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216" w:type="dxa"/>
            <w:gridSpan w:val="2"/>
            <w:tcBorders>
              <w:top w:val="single" w:sz="8" w:space="0" w:color="auto"/>
              <w:left w:val="single" w:sz="8" w:space="0" w:color="DCE6F1"/>
              <w:bottom w:val="single" w:sz="8" w:space="0" w:color="auto"/>
              <w:right w:val="single" w:sz="8" w:space="0" w:color="DCE6F1"/>
            </w:tcBorders>
            <w:shd w:val="clear" w:color="auto" w:fill="DEEAF5"/>
            <w:noWrap/>
            <w:vAlign w:val="center"/>
            <w:hideMark/>
          </w:tcPr>
          <w:p w14:paraId="1BF8C68B" w14:textId="362E860B" w:rsidR="00317A0D" w:rsidRPr="00C443BE" w:rsidDel="0011283A" w:rsidRDefault="00317A0D" w:rsidP="006C5F00">
            <w:pPr>
              <w:spacing w:after="0"/>
              <w:rPr>
                <w:bCs/>
                <w:color w:val="002060"/>
                <w:sz w:val="20"/>
                <w:lang w:val="en-NZ" w:eastAsia="en-NZ"/>
              </w:rPr>
            </w:pPr>
            <w:r w:rsidRPr="00C443BE" w:rsidDel="0011283A">
              <w:rPr>
                <w:bCs/>
                <w:color w:val="002060"/>
                <w:sz w:val="20"/>
                <w:lang w:val="en-NZ" w:eastAsia="en-NZ"/>
              </w:rPr>
              <w:t>Total</w:t>
            </w:r>
            <w:r w:rsidDel="0011283A">
              <w:rPr>
                <w:bCs/>
                <w:color w:val="002060"/>
                <w:sz w:val="20"/>
                <w:lang w:val="en-NZ" w:eastAsia="en-NZ"/>
              </w:rPr>
              <w:t xml:space="preserve"> </w:t>
            </w:r>
            <w:r w:rsidR="006C5F00">
              <w:rPr>
                <w:bCs/>
                <w:color w:val="002060"/>
                <w:sz w:val="20"/>
                <w:lang w:val="en-NZ" w:eastAsia="en-NZ"/>
              </w:rPr>
              <w:t>whole-of-life cost</w:t>
            </w:r>
          </w:p>
        </w:tc>
        <w:tc>
          <w:tcPr>
            <w:tcW w:w="1134" w:type="dxa"/>
            <w:tcBorders>
              <w:top w:val="single" w:sz="8" w:space="0" w:color="auto"/>
              <w:left w:val="nil"/>
              <w:bottom w:val="single" w:sz="8" w:space="0" w:color="auto"/>
              <w:right w:val="single" w:sz="8" w:space="0" w:color="DCE6F1"/>
            </w:tcBorders>
            <w:shd w:val="clear" w:color="auto" w:fill="F2F2F2" w:themeFill="background1" w:themeFillShade="F2"/>
            <w:vAlign w:val="center"/>
          </w:tcPr>
          <w:p w14:paraId="31E579DF" w14:textId="77777777" w:rsidR="00317A0D" w:rsidRPr="007F34D1" w:rsidDel="0011283A" w:rsidRDefault="00317A0D" w:rsidP="00EB6C92">
            <w:pPr>
              <w:spacing w:after="0"/>
              <w:jc w:val="right"/>
              <w:rPr>
                <w:color w:val="002060"/>
                <w:sz w:val="20"/>
                <w:lang w:val="en-NZ" w:eastAsia="en-NZ"/>
              </w:rPr>
            </w:pPr>
          </w:p>
        </w:tc>
        <w:tc>
          <w:tcPr>
            <w:tcW w:w="1134" w:type="dxa"/>
            <w:tcBorders>
              <w:top w:val="single" w:sz="8" w:space="0" w:color="auto"/>
              <w:left w:val="nil"/>
              <w:bottom w:val="single" w:sz="8" w:space="0" w:color="auto"/>
              <w:right w:val="single" w:sz="8" w:space="0" w:color="DCE6F1"/>
            </w:tcBorders>
            <w:shd w:val="clear" w:color="auto" w:fill="F2F2F2" w:themeFill="background1" w:themeFillShade="F2"/>
            <w:vAlign w:val="center"/>
          </w:tcPr>
          <w:p w14:paraId="4B811C67" w14:textId="77777777" w:rsidR="00317A0D" w:rsidRPr="001C101B" w:rsidDel="0011283A" w:rsidRDefault="00317A0D" w:rsidP="00EB6C92">
            <w:pPr>
              <w:spacing w:after="0"/>
              <w:jc w:val="right"/>
              <w:rPr>
                <w:color w:val="002060"/>
                <w:sz w:val="20"/>
                <w:lang w:val="en-NZ" w:eastAsia="en-NZ"/>
              </w:rPr>
            </w:pPr>
          </w:p>
        </w:tc>
        <w:tc>
          <w:tcPr>
            <w:tcW w:w="1872" w:type="dxa"/>
            <w:tcBorders>
              <w:top w:val="single" w:sz="8" w:space="0" w:color="auto"/>
              <w:left w:val="nil"/>
              <w:bottom w:val="single" w:sz="8" w:space="0" w:color="auto"/>
              <w:right w:val="single" w:sz="8" w:space="0" w:color="DCE6F1"/>
            </w:tcBorders>
            <w:shd w:val="clear" w:color="auto" w:fill="F2F2F2" w:themeFill="background1" w:themeFillShade="F2"/>
            <w:vAlign w:val="center"/>
          </w:tcPr>
          <w:p w14:paraId="332B84B1" w14:textId="77777777" w:rsidR="00317A0D" w:rsidRPr="009B17FB" w:rsidDel="0011283A" w:rsidRDefault="00317A0D" w:rsidP="00EB6C92">
            <w:pPr>
              <w:spacing w:after="0"/>
              <w:jc w:val="right"/>
              <w:rPr>
                <w:color w:val="002060"/>
                <w:sz w:val="20"/>
                <w:lang w:val="en-NZ" w:eastAsia="en-NZ"/>
              </w:rPr>
            </w:pPr>
          </w:p>
        </w:tc>
      </w:tr>
      <w:tr w:rsidR="0023118B" w:rsidRPr="0023118B" w14:paraId="6C505070" w14:textId="77777777" w:rsidTr="006E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374320BA" w14:textId="6D78A8F9" w:rsidR="00317A0D" w:rsidRPr="0023118B" w:rsidRDefault="0023118B" w:rsidP="0023118B">
            <w:pPr>
              <w:keepNext/>
              <w:spacing w:after="0"/>
              <w:rPr>
                <w:color w:val="595959" w:themeColor="text1" w:themeTint="A6"/>
                <w:sz w:val="18"/>
                <w:szCs w:val="18"/>
                <w:lang w:val="en-NZ" w:eastAsia="en-NZ"/>
              </w:rPr>
            </w:pPr>
            <w:r w:rsidRPr="0023118B">
              <w:rPr>
                <w:color w:val="595959" w:themeColor="text1" w:themeTint="A6"/>
                <w:sz w:val="18"/>
                <w:szCs w:val="16"/>
                <w:lang w:val="en-NZ" w:eastAsia="en-NZ"/>
              </w:rPr>
              <w:t>T</w:t>
            </w:r>
            <w:r w:rsidR="00317A0D" w:rsidRPr="0023118B">
              <w:rPr>
                <w:color w:val="595959" w:themeColor="text1" w:themeTint="A6"/>
                <w:sz w:val="18"/>
                <w:szCs w:val="16"/>
                <w:lang w:val="en-NZ" w:eastAsia="en-NZ"/>
              </w:rPr>
              <w:t xml:space="preserve">otal </w:t>
            </w:r>
            <w:proofErr w:type="spellStart"/>
            <w:r w:rsidRPr="0023118B">
              <w:rPr>
                <w:color w:val="595959" w:themeColor="text1" w:themeTint="A6"/>
                <w:sz w:val="18"/>
                <w:szCs w:val="16"/>
                <w:lang w:val="en-NZ" w:eastAsia="en-NZ"/>
              </w:rPr>
              <w:t>WoL</w:t>
            </w:r>
            <w:r w:rsidR="00A41A07">
              <w:rPr>
                <w:color w:val="595959" w:themeColor="text1" w:themeTint="A6"/>
                <w:sz w:val="18"/>
                <w:szCs w:val="16"/>
                <w:lang w:val="en-NZ" w:eastAsia="en-NZ"/>
              </w:rPr>
              <w:t>C</w:t>
            </w:r>
            <w:proofErr w:type="spellEnd"/>
            <w:r w:rsidR="00317A0D" w:rsidRPr="0023118B">
              <w:rPr>
                <w:color w:val="595959" w:themeColor="text1" w:themeTint="A6"/>
                <w:sz w:val="18"/>
                <w:szCs w:val="16"/>
                <w:lang w:val="en-NZ" w:eastAsia="en-NZ"/>
              </w:rPr>
              <w:t xml:space="preserve"> estimate</w:t>
            </w:r>
            <w:r w:rsidR="007716A4" w:rsidRPr="0023118B">
              <w:rPr>
                <w:color w:val="595959" w:themeColor="text1" w:themeTint="A6"/>
                <w:sz w:val="18"/>
                <w:szCs w:val="16"/>
                <w:lang w:val="en-NZ" w:eastAsia="en-NZ"/>
              </w:rPr>
              <w:t xml:space="preserve"> from previous BC*</w:t>
            </w:r>
            <w:r w:rsidR="00317A0D" w:rsidRPr="0023118B">
              <w:rPr>
                <w:color w:val="595959" w:themeColor="text1" w:themeTint="A6"/>
                <w:sz w:val="18"/>
                <w:szCs w:val="16"/>
                <w:lang w:val="en-NZ" w:eastAsia="en-NZ"/>
              </w:rPr>
              <w:t xml:space="preserve">: </w:t>
            </w:r>
          </w:p>
        </w:tc>
        <w:tc>
          <w:tcPr>
            <w:tcW w:w="1134" w:type="dxa"/>
            <w:tcBorders>
              <w:top w:val="nil"/>
              <w:left w:val="nil"/>
              <w:bottom w:val="single" w:sz="8" w:space="0" w:color="DCE6F1"/>
              <w:right w:val="single" w:sz="8" w:space="0" w:color="DCE6F1"/>
            </w:tcBorders>
            <w:shd w:val="clear" w:color="000000" w:fill="FFFFFF"/>
            <w:noWrap/>
            <w:vAlign w:val="center"/>
          </w:tcPr>
          <w:p w14:paraId="254B5E82" w14:textId="77777777" w:rsidR="00317A0D" w:rsidRPr="0023118B" w:rsidRDefault="00317A0D" w:rsidP="00317A0D">
            <w:pPr>
              <w:keepNext/>
              <w:spacing w:after="0"/>
              <w:jc w:val="right"/>
              <w:rPr>
                <w:color w:val="595959" w:themeColor="text1" w:themeTint="A6"/>
                <w:sz w:val="20"/>
                <w:lang w:val="en-NZ" w:eastAsia="en-NZ"/>
              </w:rPr>
            </w:pPr>
          </w:p>
        </w:tc>
        <w:tc>
          <w:tcPr>
            <w:tcW w:w="1134" w:type="dxa"/>
            <w:tcBorders>
              <w:top w:val="nil"/>
              <w:left w:val="nil"/>
              <w:bottom w:val="single" w:sz="8" w:space="0" w:color="DCE6F1"/>
              <w:right w:val="single" w:sz="8" w:space="0" w:color="DCE6F1"/>
            </w:tcBorders>
            <w:shd w:val="clear" w:color="auto" w:fill="auto"/>
            <w:noWrap/>
            <w:vAlign w:val="center"/>
          </w:tcPr>
          <w:p w14:paraId="57755A05" w14:textId="77777777" w:rsidR="00317A0D" w:rsidRPr="0023118B" w:rsidRDefault="00317A0D" w:rsidP="00317A0D">
            <w:pPr>
              <w:keepNext/>
              <w:spacing w:after="0"/>
              <w:jc w:val="right"/>
              <w:rPr>
                <w:color w:val="595959" w:themeColor="text1" w:themeTint="A6"/>
                <w:sz w:val="20"/>
                <w:lang w:val="en-NZ" w:eastAsia="en-NZ"/>
              </w:rPr>
            </w:pPr>
          </w:p>
        </w:tc>
        <w:tc>
          <w:tcPr>
            <w:tcW w:w="1872" w:type="dxa"/>
            <w:tcBorders>
              <w:top w:val="nil"/>
              <w:left w:val="nil"/>
              <w:bottom w:val="single" w:sz="8" w:space="0" w:color="DCE6F1"/>
              <w:right w:val="single" w:sz="8" w:space="0" w:color="DCE6F1"/>
            </w:tcBorders>
            <w:shd w:val="clear" w:color="auto" w:fill="auto"/>
            <w:noWrap/>
            <w:vAlign w:val="center"/>
          </w:tcPr>
          <w:p w14:paraId="4C0B65E1" w14:textId="77777777" w:rsidR="00317A0D" w:rsidRPr="0023118B" w:rsidRDefault="00317A0D" w:rsidP="00317A0D">
            <w:pPr>
              <w:keepNext/>
              <w:spacing w:after="0"/>
              <w:jc w:val="right"/>
              <w:rPr>
                <w:color w:val="595959" w:themeColor="text1" w:themeTint="A6"/>
                <w:sz w:val="20"/>
                <w:lang w:val="en-NZ" w:eastAsia="en-NZ"/>
              </w:rPr>
            </w:pPr>
            <w:r w:rsidRPr="0023118B">
              <w:rPr>
                <w:color w:val="595959" w:themeColor="text1" w:themeTint="A6"/>
                <w:sz w:val="20"/>
                <w:lang w:val="en-NZ" w:eastAsia="en-NZ"/>
              </w:rPr>
              <w:t>0</w:t>
            </w:r>
          </w:p>
        </w:tc>
      </w:tr>
      <w:tr w:rsidR="0023118B" w:rsidRPr="0023118B" w:rsidDel="0011283A" w14:paraId="249D09AB" w14:textId="77777777" w:rsidTr="006E4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216" w:type="dxa"/>
            <w:gridSpan w:val="2"/>
            <w:tcBorders>
              <w:top w:val="single" w:sz="8" w:space="0" w:color="auto"/>
              <w:left w:val="single" w:sz="8" w:space="0" w:color="DCE6F1"/>
              <w:bottom w:val="single" w:sz="8" w:space="0" w:color="DCE6F1"/>
              <w:right w:val="single" w:sz="8" w:space="0" w:color="DCE6F1"/>
            </w:tcBorders>
            <w:shd w:val="clear" w:color="auto" w:fill="DEEAF5"/>
            <w:noWrap/>
            <w:vAlign w:val="center"/>
            <w:hideMark/>
          </w:tcPr>
          <w:p w14:paraId="1A885B50" w14:textId="48F741BB" w:rsidR="00317A0D" w:rsidRPr="0023118B" w:rsidDel="0011283A" w:rsidRDefault="007716A4" w:rsidP="0023118B">
            <w:pPr>
              <w:spacing w:after="0"/>
              <w:rPr>
                <w:bCs/>
                <w:color w:val="595959" w:themeColor="text1" w:themeTint="A6"/>
                <w:sz w:val="18"/>
                <w:szCs w:val="18"/>
                <w:lang w:val="en-NZ" w:eastAsia="en-NZ"/>
              </w:rPr>
            </w:pPr>
            <w:r w:rsidRPr="0023118B">
              <w:rPr>
                <w:bCs/>
                <w:color w:val="595959" w:themeColor="text1" w:themeTint="A6"/>
                <w:sz w:val="18"/>
                <w:szCs w:val="18"/>
                <w:lang w:val="en-NZ" w:eastAsia="en-NZ"/>
              </w:rPr>
              <w:t xml:space="preserve">Change in </w:t>
            </w:r>
            <w:proofErr w:type="spellStart"/>
            <w:r w:rsidR="0023118B" w:rsidRPr="0023118B">
              <w:rPr>
                <w:bCs/>
                <w:color w:val="595959" w:themeColor="text1" w:themeTint="A6"/>
                <w:sz w:val="18"/>
                <w:szCs w:val="18"/>
                <w:lang w:val="en-NZ" w:eastAsia="en-NZ"/>
              </w:rPr>
              <w:t>WoL</w:t>
            </w:r>
            <w:r w:rsidR="00A41A07">
              <w:rPr>
                <w:bCs/>
                <w:color w:val="595959" w:themeColor="text1" w:themeTint="A6"/>
                <w:sz w:val="18"/>
                <w:szCs w:val="18"/>
                <w:lang w:val="en-NZ" w:eastAsia="en-NZ"/>
              </w:rPr>
              <w:t>C</w:t>
            </w:r>
            <w:proofErr w:type="spellEnd"/>
            <w:r w:rsidR="0023118B" w:rsidRPr="0023118B">
              <w:rPr>
                <w:bCs/>
                <w:color w:val="595959" w:themeColor="text1" w:themeTint="A6"/>
                <w:sz w:val="18"/>
                <w:szCs w:val="18"/>
                <w:lang w:val="en-NZ" w:eastAsia="en-NZ"/>
              </w:rPr>
              <w:t xml:space="preserve"> </w:t>
            </w:r>
            <w:r w:rsidRPr="0023118B">
              <w:rPr>
                <w:bCs/>
                <w:color w:val="595959" w:themeColor="text1" w:themeTint="A6"/>
                <w:sz w:val="18"/>
                <w:szCs w:val="18"/>
                <w:lang w:val="en-NZ" w:eastAsia="en-NZ"/>
              </w:rPr>
              <w:t>since previous BC:</w:t>
            </w:r>
          </w:p>
        </w:tc>
        <w:tc>
          <w:tcPr>
            <w:tcW w:w="1134" w:type="dxa"/>
            <w:tcBorders>
              <w:top w:val="single" w:sz="8" w:space="0" w:color="auto"/>
              <w:left w:val="nil"/>
              <w:bottom w:val="single" w:sz="4" w:space="0" w:color="A5A5A5" w:themeColor="accent3"/>
              <w:right w:val="single" w:sz="8" w:space="0" w:color="DCE6F1"/>
            </w:tcBorders>
            <w:shd w:val="clear" w:color="auto" w:fill="F2F2F2" w:themeFill="background1" w:themeFillShade="F2"/>
            <w:vAlign w:val="center"/>
          </w:tcPr>
          <w:p w14:paraId="7C23DD48" w14:textId="77777777" w:rsidR="00317A0D" w:rsidRPr="0023118B" w:rsidDel="0011283A" w:rsidRDefault="00317A0D" w:rsidP="00EB6C92">
            <w:pPr>
              <w:spacing w:after="0"/>
              <w:jc w:val="right"/>
              <w:rPr>
                <w:color w:val="595959" w:themeColor="text1" w:themeTint="A6"/>
                <w:sz w:val="18"/>
                <w:szCs w:val="18"/>
                <w:lang w:val="en-NZ" w:eastAsia="en-NZ"/>
              </w:rPr>
            </w:pPr>
          </w:p>
        </w:tc>
        <w:tc>
          <w:tcPr>
            <w:tcW w:w="1134" w:type="dxa"/>
            <w:tcBorders>
              <w:top w:val="single" w:sz="8" w:space="0" w:color="auto"/>
              <w:left w:val="nil"/>
              <w:bottom w:val="single" w:sz="4" w:space="0" w:color="A5A5A5" w:themeColor="accent3"/>
              <w:right w:val="single" w:sz="8" w:space="0" w:color="DCE6F1"/>
            </w:tcBorders>
            <w:shd w:val="clear" w:color="auto" w:fill="F2F2F2" w:themeFill="background1" w:themeFillShade="F2"/>
            <w:vAlign w:val="center"/>
          </w:tcPr>
          <w:p w14:paraId="06ED0F77" w14:textId="77777777" w:rsidR="00317A0D" w:rsidRPr="0023118B" w:rsidDel="0011283A" w:rsidRDefault="00317A0D" w:rsidP="00EB6C92">
            <w:pPr>
              <w:spacing w:after="0"/>
              <w:jc w:val="right"/>
              <w:rPr>
                <w:color w:val="595959" w:themeColor="text1" w:themeTint="A6"/>
                <w:sz w:val="18"/>
                <w:szCs w:val="18"/>
                <w:lang w:val="en-NZ" w:eastAsia="en-NZ"/>
              </w:rPr>
            </w:pPr>
          </w:p>
        </w:tc>
        <w:tc>
          <w:tcPr>
            <w:tcW w:w="1872" w:type="dxa"/>
            <w:tcBorders>
              <w:top w:val="single" w:sz="8" w:space="0" w:color="auto"/>
              <w:left w:val="nil"/>
              <w:bottom w:val="single" w:sz="4" w:space="0" w:color="A5A5A5" w:themeColor="accent3"/>
              <w:right w:val="single" w:sz="8" w:space="0" w:color="DCE6F1"/>
            </w:tcBorders>
            <w:shd w:val="clear" w:color="auto" w:fill="F2F2F2" w:themeFill="background1" w:themeFillShade="F2"/>
            <w:vAlign w:val="center"/>
          </w:tcPr>
          <w:p w14:paraId="4F7708E5" w14:textId="77777777" w:rsidR="00317A0D" w:rsidRPr="0023118B" w:rsidDel="0011283A" w:rsidRDefault="00317A0D" w:rsidP="00EB6C92">
            <w:pPr>
              <w:spacing w:after="0"/>
              <w:jc w:val="right"/>
              <w:rPr>
                <w:color w:val="595959" w:themeColor="text1" w:themeTint="A6"/>
                <w:sz w:val="18"/>
                <w:szCs w:val="18"/>
                <w:lang w:val="en-NZ" w:eastAsia="en-NZ"/>
              </w:rPr>
            </w:pPr>
          </w:p>
        </w:tc>
      </w:tr>
    </w:tbl>
    <w:p w14:paraId="38548334" w14:textId="3E492120" w:rsidR="00317A0D" w:rsidRDefault="007716A4" w:rsidP="005F2E69">
      <w:pPr>
        <w:spacing w:before="60" w:line="260" w:lineRule="atLeast"/>
      </w:pPr>
      <w:r w:rsidRPr="00482953">
        <w:rPr>
          <w:b/>
          <w:sz w:val="18"/>
        </w:rPr>
        <w:t>Note</w:t>
      </w:r>
      <w:r>
        <w:rPr>
          <w:b/>
          <w:sz w:val="18"/>
        </w:rPr>
        <w:t>s</w:t>
      </w:r>
      <w:r w:rsidRPr="00827D51">
        <w:rPr>
          <w:sz w:val="18"/>
        </w:rPr>
        <w:t>:</w:t>
      </w:r>
      <w:r>
        <w:rPr>
          <w:sz w:val="18"/>
        </w:rPr>
        <w:t xml:space="preserve"> *The previous</w:t>
      </w:r>
      <w:r w:rsidR="007D21D4">
        <w:rPr>
          <w:sz w:val="18"/>
        </w:rPr>
        <w:t>ly approved</w:t>
      </w:r>
      <w:r>
        <w:rPr>
          <w:sz w:val="18"/>
        </w:rPr>
        <w:t xml:space="preserve"> business case </w:t>
      </w:r>
      <w:r w:rsidR="007D21D4">
        <w:rPr>
          <w:sz w:val="18"/>
        </w:rPr>
        <w:t>(</w:t>
      </w:r>
      <w:r>
        <w:rPr>
          <w:sz w:val="18"/>
        </w:rPr>
        <w:t>a Detailed BC or a Single-stage BC</w:t>
      </w:r>
      <w:r w:rsidR="007D21D4">
        <w:rPr>
          <w:sz w:val="18"/>
        </w:rPr>
        <w:t>)</w:t>
      </w:r>
      <w:r>
        <w:rPr>
          <w:sz w:val="18"/>
        </w:rPr>
        <w:t>.</w:t>
      </w:r>
    </w:p>
    <w:p w14:paraId="4B27EA17" w14:textId="150FBC2A" w:rsidR="00317A0D" w:rsidRPr="006E42F9" w:rsidRDefault="00FE1FD6" w:rsidP="00317A0D">
      <w:pPr>
        <w:spacing w:line="260" w:lineRule="atLeast"/>
        <w:rPr>
          <w:szCs w:val="22"/>
        </w:rPr>
      </w:pPr>
      <w:r w:rsidRPr="006E42F9">
        <w:rPr>
          <w:rStyle w:val="Emphasis"/>
          <w:i w:val="0"/>
          <w:sz w:val="22"/>
          <w:szCs w:val="22"/>
        </w:rPr>
        <w:t xml:space="preserve">The updated total investment in this business case </w:t>
      </w:r>
      <w:r w:rsidRPr="006E42F9">
        <w:rPr>
          <w:rStyle w:val="Emphasis"/>
          <w:i w:val="0"/>
          <w:sz w:val="22"/>
          <w:szCs w:val="22"/>
          <w:highlight w:val="yellow"/>
        </w:rPr>
        <w:t>is/is not</w:t>
      </w:r>
      <w:r w:rsidRPr="006E42F9">
        <w:rPr>
          <w:rStyle w:val="Emphasis"/>
          <w:i w:val="0"/>
          <w:sz w:val="22"/>
          <w:szCs w:val="22"/>
        </w:rPr>
        <w:t xml:space="preserve"> within the total investment and project budget </w:t>
      </w:r>
      <w:r w:rsidR="0023697A" w:rsidRPr="006E42F9">
        <w:rPr>
          <w:rStyle w:val="Emphasis"/>
          <w:i w:val="0"/>
          <w:sz w:val="22"/>
          <w:szCs w:val="22"/>
        </w:rPr>
        <w:t xml:space="preserve">approved in </w:t>
      </w:r>
      <w:r w:rsidRPr="006E42F9">
        <w:rPr>
          <w:rStyle w:val="Emphasis"/>
          <w:i w:val="0"/>
          <w:sz w:val="22"/>
          <w:szCs w:val="22"/>
        </w:rPr>
        <w:t xml:space="preserve">the previous business case. </w:t>
      </w:r>
      <w:r w:rsidR="00092D17" w:rsidRPr="006E42F9">
        <w:rPr>
          <w:rStyle w:val="Emphasis"/>
          <w:i w:val="0"/>
          <w:sz w:val="22"/>
          <w:szCs w:val="22"/>
          <w:highlight w:val="yellow"/>
        </w:rPr>
        <w:t>The cost estimates have changed because ………</w:t>
      </w:r>
    </w:p>
    <w:p w14:paraId="48A7CD7B" w14:textId="77777777" w:rsidR="009A19B3" w:rsidRPr="006E42F9" w:rsidRDefault="009A19B3" w:rsidP="00F26D2B">
      <w:pPr>
        <w:keepNext/>
        <w:spacing w:line="240" w:lineRule="atLeast"/>
        <w:rPr>
          <w:rStyle w:val="Emphasis"/>
          <w:i w:val="0"/>
          <w:iCs w:val="0"/>
          <w:sz w:val="22"/>
          <w:szCs w:val="22"/>
        </w:rPr>
      </w:pPr>
      <w:r w:rsidRPr="006E42F9">
        <w:rPr>
          <w:rStyle w:val="Emphasis"/>
          <w:i w:val="0"/>
          <w:sz w:val="22"/>
          <w:szCs w:val="22"/>
        </w:rPr>
        <w:t xml:space="preserve">Following selection of the preferred supplier/s, </w:t>
      </w:r>
      <w:r w:rsidRPr="006E42F9">
        <w:rPr>
          <w:szCs w:val="22"/>
        </w:rPr>
        <w:t xml:space="preserve">the </w:t>
      </w:r>
      <w:r w:rsidRPr="006E42F9">
        <w:rPr>
          <w:rStyle w:val="Emphasis"/>
          <w:i w:val="0"/>
          <w:sz w:val="22"/>
          <w:szCs w:val="22"/>
        </w:rPr>
        <w:t xml:space="preserve">proposed capital and operating costs over the expected lifespan of the project have been updated.  </w:t>
      </w:r>
      <w:r w:rsidRPr="006E42F9">
        <w:rPr>
          <w:szCs w:val="22"/>
        </w:rPr>
        <w:t xml:space="preserve">Financial modelling of the proposed </w:t>
      </w:r>
      <w:r w:rsidRPr="006E42F9">
        <w:rPr>
          <w:szCs w:val="22"/>
        </w:rPr>
        <w:lastRenderedPageBreak/>
        <w:t>investment (project costs) and other operating costs and benefits (changes to revenues and expenses) are summarised as follows:</w:t>
      </w:r>
      <w:r w:rsidRPr="006E42F9">
        <w:rPr>
          <w:rStyle w:val="Emphasis"/>
          <w:i w:val="0"/>
          <w:sz w:val="22"/>
          <w:szCs w:val="22"/>
        </w:rPr>
        <w:t xml:space="preserve"> </w:t>
      </w:r>
    </w:p>
    <w:p w14:paraId="1354A5EC" w14:textId="28F30626" w:rsidR="00F26D2B" w:rsidRPr="00F26D2B" w:rsidRDefault="00EC0F52" w:rsidP="00414BEF">
      <w:pPr>
        <w:keepNext/>
        <w:spacing w:after="60" w:line="240" w:lineRule="auto"/>
        <w:rPr>
          <w:bCs/>
          <w:sz w:val="20"/>
        </w:rPr>
      </w:pPr>
      <w:r w:rsidRPr="00F26D2B">
        <w:rPr>
          <w:b/>
          <w:bCs/>
          <w:sz w:val="20"/>
          <w:highlight w:val="yellow"/>
        </w:rPr>
        <w:t xml:space="preserve">Table </w:t>
      </w:r>
      <w:r w:rsidR="00B0578D" w:rsidRPr="00F26D2B">
        <w:rPr>
          <w:b/>
          <w:bCs/>
          <w:sz w:val="20"/>
          <w:highlight w:val="yellow"/>
          <w:shd w:val="clear" w:color="auto" w:fill="FFFF00"/>
        </w:rPr>
        <w:t>2</w:t>
      </w:r>
      <w:r w:rsidRPr="00F26D2B">
        <w:rPr>
          <w:b/>
          <w:bCs/>
          <w:sz w:val="20"/>
          <w:highlight w:val="yellow"/>
        </w:rPr>
        <w:t>:</w:t>
      </w:r>
      <w:r w:rsidRPr="00F26D2B">
        <w:rPr>
          <w:sz w:val="20"/>
        </w:rPr>
        <w:t xml:space="preserve"> </w:t>
      </w:r>
      <w:r w:rsidRPr="00F26D2B">
        <w:rPr>
          <w:bCs/>
          <w:sz w:val="20"/>
        </w:rPr>
        <w:t>Financial costing table – summary</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240"/>
        <w:gridCol w:w="1186"/>
        <w:gridCol w:w="1186"/>
        <w:gridCol w:w="1186"/>
        <w:gridCol w:w="1186"/>
        <w:gridCol w:w="1186"/>
        <w:gridCol w:w="1186"/>
      </w:tblGrid>
      <w:tr w:rsidR="00F26D2B" w:rsidRPr="00F92498" w14:paraId="6BF59FB8" w14:textId="77777777" w:rsidTr="006E42F9">
        <w:trPr>
          <w:tblHeader/>
        </w:trPr>
        <w:tc>
          <w:tcPr>
            <w:tcW w:w="2240" w:type="dxa"/>
            <w:shd w:val="clear" w:color="auto" w:fill="DEEAF5"/>
            <w:vAlign w:val="center"/>
          </w:tcPr>
          <w:p w14:paraId="316DF878" w14:textId="77777777" w:rsidR="00F26D2B" w:rsidRPr="00F92498" w:rsidRDefault="00F26D2B" w:rsidP="00343A00">
            <w:pPr>
              <w:pStyle w:val="TableHeading"/>
              <w:keepNext/>
              <w:spacing w:before="40" w:after="40"/>
              <w:jc w:val="right"/>
              <w:rPr>
                <w:b w:val="0"/>
                <w:sz w:val="18"/>
                <w:szCs w:val="18"/>
              </w:rPr>
            </w:pPr>
            <w:r w:rsidRPr="00F92498">
              <w:rPr>
                <w:b w:val="0"/>
                <w:sz w:val="18"/>
                <w:szCs w:val="18"/>
              </w:rPr>
              <w:t>$m</w:t>
            </w:r>
          </w:p>
        </w:tc>
        <w:tc>
          <w:tcPr>
            <w:tcW w:w="1186" w:type="dxa"/>
            <w:shd w:val="clear" w:color="auto" w:fill="DEEAF5"/>
            <w:vAlign w:val="center"/>
          </w:tcPr>
          <w:p w14:paraId="62E1F419" w14:textId="77777777" w:rsidR="00F26D2B" w:rsidRPr="00F92498" w:rsidRDefault="00F26D2B" w:rsidP="00343A00">
            <w:pPr>
              <w:pStyle w:val="TableHeading"/>
              <w:keepNext/>
              <w:spacing w:before="40" w:after="40"/>
              <w:jc w:val="center"/>
              <w:rPr>
                <w:b w:val="0"/>
                <w:sz w:val="18"/>
                <w:szCs w:val="18"/>
              </w:rPr>
            </w:pPr>
            <w:r>
              <w:rPr>
                <w:b w:val="0"/>
                <w:sz w:val="18"/>
                <w:szCs w:val="18"/>
              </w:rPr>
              <w:t>2021-22</w:t>
            </w:r>
          </w:p>
        </w:tc>
        <w:tc>
          <w:tcPr>
            <w:tcW w:w="1186" w:type="dxa"/>
            <w:shd w:val="clear" w:color="auto" w:fill="DEEAF5"/>
            <w:vAlign w:val="center"/>
          </w:tcPr>
          <w:p w14:paraId="115E617D" w14:textId="77777777" w:rsidR="00F26D2B" w:rsidRPr="00F92498" w:rsidRDefault="00F26D2B" w:rsidP="00343A00">
            <w:pPr>
              <w:pStyle w:val="TableHeading"/>
              <w:keepNext/>
              <w:spacing w:before="40" w:after="40"/>
              <w:jc w:val="center"/>
              <w:rPr>
                <w:b w:val="0"/>
                <w:sz w:val="18"/>
                <w:szCs w:val="18"/>
              </w:rPr>
            </w:pPr>
            <w:r>
              <w:rPr>
                <w:b w:val="0"/>
                <w:sz w:val="18"/>
                <w:szCs w:val="18"/>
              </w:rPr>
              <w:t>2022-23</w:t>
            </w:r>
          </w:p>
        </w:tc>
        <w:tc>
          <w:tcPr>
            <w:tcW w:w="1186" w:type="dxa"/>
            <w:shd w:val="clear" w:color="auto" w:fill="DEEAF5"/>
            <w:vAlign w:val="center"/>
          </w:tcPr>
          <w:p w14:paraId="6CCEBC4B" w14:textId="77777777" w:rsidR="00F26D2B" w:rsidRPr="00F92498" w:rsidRDefault="00F26D2B" w:rsidP="00343A00">
            <w:pPr>
              <w:pStyle w:val="TableHeading"/>
              <w:keepNext/>
              <w:spacing w:before="40" w:after="40"/>
              <w:jc w:val="center"/>
              <w:rPr>
                <w:b w:val="0"/>
                <w:sz w:val="18"/>
                <w:szCs w:val="18"/>
              </w:rPr>
            </w:pPr>
            <w:r>
              <w:rPr>
                <w:b w:val="0"/>
                <w:sz w:val="18"/>
                <w:szCs w:val="18"/>
              </w:rPr>
              <w:t>2023-24</w:t>
            </w:r>
          </w:p>
        </w:tc>
        <w:tc>
          <w:tcPr>
            <w:tcW w:w="1186" w:type="dxa"/>
            <w:shd w:val="clear" w:color="auto" w:fill="DEEAF5"/>
            <w:vAlign w:val="center"/>
          </w:tcPr>
          <w:p w14:paraId="521A78D0" w14:textId="77777777" w:rsidR="00F26D2B" w:rsidRPr="00F92498" w:rsidRDefault="00F26D2B" w:rsidP="00343A00">
            <w:pPr>
              <w:pStyle w:val="TableHeading"/>
              <w:keepNext/>
              <w:spacing w:before="40" w:after="40"/>
              <w:jc w:val="center"/>
              <w:rPr>
                <w:b w:val="0"/>
                <w:sz w:val="18"/>
                <w:szCs w:val="18"/>
              </w:rPr>
            </w:pPr>
            <w:r>
              <w:rPr>
                <w:b w:val="0"/>
                <w:sz w:val="18"/>
                <w:szCs w:val="18"/>
              </w:rPr>
              <w:t>2024-25</w:t>
            </w:r>
          </w:p>
        </w:tc>
        <w:tc>
          <w:tcPr>
            <w:tcW w:w="1186" w:type="dxa"/>
            <w:shd w:val="clear" w:color="auto" w:fill="DEEAF5"/>
            <w:vAlign w:val="center"/>
          </w:tcPr>
          <w:p w14:paraId="5C99AF3C" w14:textId="77777777" w:rsidR="00F26D2B" w:rsidRPr="00F92498" w:rsidRDefault="00F26D2B" w:rsidP="00343A00">
            <w:pPr>
              <w:pStyle w:val="TableHeading"/>
              <w:keepNext/>
              <w:spacing w:before="40" w:after="40"/>
              <w:jc w:val="center"/>
              <w:rPr>
                <w:b w:val="0"/>
                <w:sz w:val="18"/>
                <w:szCs w:val="18"/>
              </w:rPr>
            </w:pPr>
            <w:r w:rsidRPr="00F92498">
              <w:rPr>
                <w:b w:val="0"/>
                <w:sz w:val="18"/>
                <w:szCs w:val="18"/>
              </w:rPr>
              <w:t>……..</w:t>
            </w:r>
          </w:p>
        </w:tc>
        <w:tc>
          <w:tcPr>
            <w:tcW w:w="1186" w:type="dxa"/>
            <w:shd w:val="clear" w:color="auto" w:fill="DEEAF5"/>
            <w:vAlign w:val="center"/>
          </w:tcPr>
          <w:p w14:paraId="0EE46B50" w14:textId="77777777" w:rsidR="00F26D2B" w:rsidRPr="00F92498" w:rsidRDefault="00F26D2B" w:rsidP="00343A00">
            <w:pPr>
              <w:pStyle w:val="TableHeading"/>
              <w:keepNext/>
              <w:spacing w:before="40" w:after="40"/>
              <w:jc w:val="center"/>
              <w:rPr>
                <w:b w:val="0"/>
                <w:sz w:val="18"/>
                <w:szCs w:val="18"/>
              </w:rPr>
            </w:pPr>
            <w:r w:rsidRPr="00F92498">
              <w:rPr>
                <w:b w:val="0"/>
                <w:sz w:val="18"/>
                <w:szCs w:val="18"/>
              </w:rPr>
              <w:t>Total</w:t>
            </w:r>
          </w:p>
        </w:tc>
      </w:tr>
      <w:tr w:rsidR="00F26D2B" w:rsidRPr="009E4F10" w14:paraId="39FA7AC2" w14:textId="77777777" w:rsidTr="006E42F9">
        <w:trPr>
          <w:trHeight w:val="283"/>
        </w:trPr>
        <w:tc>
          <w:tcPr>
            <w:tcW w:w="9356" w:type="dxa"/>
            <w:gridSpan w:val="7"/>
            <w:shd w:val="clear" w:color="auto" w:fill="DEEAF5"/>
            <w:vAlign w:val="center"/>
          </w:tcPr>
          <w:p w14:paraId="48FD56DF" w14:textId="77777777" w:rsidR="00F26D2B" w:rsidRPr="009E4F10" w:rsidRDefault="00F26D2B" w:rsidP="00343A00">
            <w:pPr>
              <w:pStyle w:val="TableText"/>
              <w:keepNext/>
              <w:spacing w:before="40" w:after="40"/>
              <w:rPr>
                <w:color w:val="002060"/>
              </w:rPr>
            </w:pPr>
            <w:r>
              <w:rPr>
                <w:color w:val="002060"/>
              </w:rPr>
              <w:t xml:space="preserve">Proposed </w:t>
            </w:r>
            <w:r w:rsidRPr="009C3010">
              <w:rPr>
                <w:color w:val="002060"/>
                <w:u w:val="single"/>
              </w:rPr>
              <w:t>investment</w:t>
            </w:r>
            <w:r w:rsidRPr="009E4F10">
              <w:rPr>
                <w:color w:val="002060"/>
              </w:rPr>
              <w:t>:</w:t>
            </w:r>
          </w:p>
        </w:tc>
      </w:tr>
      <w:tr w:rsidR="00F26D2B" w:rsidRPr="00CC1667" w14:paraId="5F980D5C" w14:textId="77777777" w:rsidTr="006E42F9">
        <w:tc>
          <w:tcPr>
            <w:tcW w:w="2240" w:type="dxa"/>
            <w:shd w:val="clear" w:color="auto" w:fill="DEEAF5"/>
            <w:vAlign w:val="center"/>
          </w:tcPr>
          <w:p w14:paraId="594444D5" w14:textId="77777777" w:rsidR="00F26D2B" w:rsidRPr="00486BC3" w:rsidRDefault="00F26D2B" w:rsidP="00343A00">
            <w:pPr>
              <w:keepNext/>
              <w:spacing w:before="40" w:after="40" w:line="240" w:lineRule="atLeast"/>
              <w:rPr>
                <w:sz w:val="18"/>
              </w:rPr>
            </w:pPr>
            <w:r w:rsidRPr="00486BC3">
              <w:rPr>
                <w:sz w:val="18"/>
              </w:rPr>
              <w:t xml:space="preserve">Capital </w:t>
            </w:r>
            <w:r>
              <w:rPr>
                <w:sz w:val="18"/>
              </w:rPr>
              <w:t>from baseline*</w:t>
            </w:r>
          </w:p>
        </w:tc>
        <w:tc>
          <w:tcPr>
            <w:tcW w:w="1186" w:type="dxa"/>
            <w:vAlign w:val="center"/>
          </w:tcPr>
          <w:p w14:paraId="2B118FD9" w14:textId="77777777" w:rsidR="00F26D2B" w:rsidRPr="009911C3" w:rsidRDefault="00F26D2B" w:rsidP="00343A00">
            <w:pPr>
              <w:pStyle w:val="TableText"/>
              <w:keepNext/>
              <w:spacing w:before="40" w:after="40"/>
              <w:jc w:val="right"/>
            </w:pPr>
          </w:p>
        </w:tc>
        <w:tc>
          <w:tcPr>
            <w:tcW w:w="1186" w:type="dxa"/>
            <w:vAlign w:val="center"/>
          </w:tcPr>
          <w:p w14:paraId="5BC843F5" w14:textId="77777777" w:rsidR="00F26D2B" w:rsidRPr="009911C3" w:rsidRDefault="00F26D2B" w:rsidP="00343A00">
            <w:pPr>
              <w:pStyle w:val="TableText"/>
              <w:keepNext/>
              <w:spacing w:before="40" w:after="40"/>
              <w:jc w:val="right"/>
            </w:pPr>
          </w:p>
        </w:tc>
        <w:tc>
          <w:tcPr>
            <w:tcW w:w="1186" w:type="dxa"/>
            <w:vAlign w:val="center"/>
          </w:tcPr>
          <w:p w14:paraId="2CE3FCD3" w14:textId="77777777" w:rsidR="00F26D2B" w:rsidRPr="009911C3" w:rsidRDefault="00F26D2B" w:rsidP="00343A00">
            <w:pPr>
              <w:pStyle w:val="TableText"/>
              <w:keepNext/>
              <w:spacing w:before="40" w:after="40"/>
              <w:jc w:val="right"/>
            </w:pPr>
          </w:p>
        </w:tc>
        <w:tc>
          <w:tcPr>
            <w:tcW w:w="1186" w:type="dxa"/>
            <w:vAlign w:val="center"/>
          </w:tcPr>
          <w:p w14:paraId="4166F6EE" w14:textId="77777777" w:rsidR="00F26D2B" w:rsidRPr="009911C3" w:rsidRDefault="00F26D2B" w:rsidP="00343A00">
            <w:pPr>
              <w:pStyle w:val="TableText"/>
              <w:keepNext/>
              <w:spacing w:before="40" w:after="40"/>
              <w:jc w:val="right"/>
            </w:pPr>
          </w:p>
        </w:tc>
        <w:tc>
          <w:tcPr>
            <w:tcW w:w="1186" w:type="dxa"/>
            <w:vAlign w:val="center"/>
          </w:tcPr>
          <w:p w14:paraId="261BDEDB" w14:textId="77777777" w:rsidR="00F26D2B" w:rsidRPr="009911C3" w:rsidRDefault="00F26D2B" w:rsidP="00343A00">
            <w:pPr>
              <w:pStyle w:val="TableText"/>
              <w:keepNext/>
              <w:spacing w:before="40" w:after="40"/>
              <w:jc w:val="right"/>
            </w:pPr>
          </w:p>
        </w:tc>
        <w:tc>
          <w:tcPr>
            <w:tcW w:w="1186" w:type="dxa"/>
            <w:vAlign w:val="center"/>
          </w:tcPr>
          <w:p w14:paraId="16413B99" w14:textId="77777777" w:rsidR="00F26D2B" w:rsidRPr="009911C3" w:rsidRDefault="00F26D2B" w:rsidP="00343A00">
            <w:pPr>
              <w:pStyle w:val="TableText"/>
              <w:keepNext/>
              <w:spacing w:before="40" w:after="40"/>
              <w:jc w:val="right"/>
            </w:pPr>
          </w:p>
        </w:tc>
      </w:tr>
      <w:tr w:rsidR="00F26D2B" w:rsidRPr="00CC1667" w14:paraId="56AC8556" w14:textId="77777777" w:rsidTr="006E42F9">
        <w:tc>
          <w:tcPr>
            <w:tcW w:w="2240" w:type="dxa"/>
            <w:shd w:val="clear" w:color="auto" w:fill="DEEAF5"/>
            <w:vAlign w:val="center"/>
          </w:tcPr>
          <w:p w14:paraId="674565C6" w14:textId="77777777" w:rsidR="00F26D2B" w:rsidRPr="00E54AE4" w:rsidRDefault="00F26D2B" w:rsidP="00343A00">
            <w:pPr>
              <w:keepNext/>
              <w:spacing w:before="40" w:after="40" w:line="240" w:lineRule="atLeast"/>
              <w:rPr>
                <w:sz w:val="18"/>
              </w:rPr>
            </w:pPr>
            <w:r w:rsidRPr="00E54AE4">
              <w:rPr>
                <w:sz w:val="18"/>
              </w:rPr>
              <w:t>Capital required</w:t>
            </w:r>
          </w:p>
        </w:tc>
        <w:tc>
          <w:tcPr>
            <w:tcW w:w="1186" w:type="dxa"/>
            <w:vAlign w:val="center"/>
          </w:tcPr>
          <w:p w14:paraId="6C5E5796" w14:textId="77777777" w:rsidR="00F26D2B" w:rsidRPr="009911C3" w:rsidRDefault="00F26D2B" w:rsidP="00343A00">
            <w:pPr>
              <w:pStyle w:val="TableText"/>
              <w:keepNext/>
              <w:spacing w:before="40" w:after="40"/>
              <w:jc w:val="right"/>
            </w:pPr>
          </w:p>
        </w:tc>
        <w:tc>
          <w:tcPr>
            <w:tcW w:w="1186" w:type="dxa"/>
            <w:vAlign w:val="center"/>
          </w:tcPr>
          <w:p w14:paraId="7A52FC97" w14:textId="77777777" w:rsidR="00F26D2B" w:rsidRPr="009911C3" w:rsidRDefault="00F26D2B" w:rsidP="00343A00">
            <w:pPr>
              <w:pStyle w:val="TableText"/>
              <w:keepNext/>
              <w:spacing w:before="40" w:after="40"/>
              <w:jc w:val="right"/>
            </w:pPr>
          </w:p>
        </w:tc>
        <w:tc>
          <w:tcPr>
            <w:tcW w:w="1186" w:type="dxa"/>
            <w:vAlign w:val="center"/>
          </w:tcPr>
          <w:p w14:paraId="5CB12AA9" w14:textId="77777777" w:rsidR="00F26D2B" w:rsidRPr="009911C3" w:rsidRDefault="00F26D2B" w:rsidP="00343A00">
            <w:pPr>
              <w:pStyle w:val="TableText"/>
              <w:keepNext/>
              <w:spacing w:before="40" w:after="40"/>
              <w:jc w:val="right"/>
            </w:pPr>
          </w:p>
        </w:tc>
        <w:tc>
          <w:tcPr>
            <w:tcW w:w="1186" w:type="dxa"/>
            <w:vAlign w:val="center"/>
          </w:tcPr>
          <w:p w14:paraId="13BE6E56" w14:textId="77777777" w:rsidR="00F26D2B" w:rsidRPr="009911C3" w:rsidRDefault="00F26D2B" w:rsidP="00343A00">
            <w:pPr>
              <w:pStyle w:val="TableText"/>
              <w:keepNext/>
              <w:spacing w:before="40" w:after="40"/>
              <w:jc w:val="right"/>
            </w:pPr>
          </w:p>
        </w:tc>
        <w:tc>
          <w:tcPr>
            <w:tcW w:w="1186" w:type="dxa"/>
            <w:vAlign w:val="center"/>
          </w:tcPr>
          <w:p w14:paraId="0B9BA406" w14:textId="77777777" w:rsidR="00F26D2B" w:rsidRPr="009911C3" w:rsidRDefault="00F26D2B" w:rsidP="00343A00">
            <w:pPr>
              <w:pStyle w:val="TableText"/>
              <w:keepNext/>
              <w:spacing w:before="40" w:after="40"/>
              <w:jc w:val="right"/>
            </w:pPr>
          </w:p>
        </w:tc>
        <w:tc>
          <w:tcPr>
            <w:tcW w:w="1186" w:type="dxa"/>
            <w:vAlign w:val="center"/>
          </w:tcPr>
          <w:p w14:paraId="6CF0384B" w14:textId="77777777" w:rsidR="00F26D2B" w:rsidRPr="009911C3" w:rsidRDefault="00F26D2B" w:rsidP="00343A00">
            <w:pPr>
              <w:pStyle w:val="TableText"/>
              <w:keepNext/>
              <w:spacing w:before="40" w:after="40"/>
              <w:jc w:val="right"/>
            </w:pPr>
          </w:p>
        </w:tc>
      </w:tr>
      <w:tr w:rsidR="00F26D2B" w:rsidRPr="00CC1667" w14:paraId="0144A297" w14:textId="77777777" w:rsidTr="006E42F9">
        <w:tc>
          <w:tcPr>
            <w:tcW w:w="2240" w:type="dxa"/>
            <w:shd w:val="clear" w:color="auto" w:fill="DEEAF5"/>
            <w:vAlign w:val="center"/>
          </w:tcPr>
          <w:p w14:paraId="33842A41" w14:textId="77777777" w:rsidR="00F26D2B" w:rsidRPr="00E54AE4" w:rsidRDefault="00F26D2B" w:rsidP="00343A00">
            <w:pPr>
              <w:keepNext/>
              <w:spacing w:before="40" w:after="40" w:line="240" w:lineRule="atLeast"/>
              <w:rPr>
                <w:sz w:val="18"/>
              </w:rPr>
            </w:pPr>
            <w:proofErr w:type="spellStart"/>
            <w:r w:rsidRPr="00E54AE4">
              <w:rPr>
                <w:sz w:val="18"/>
              </w:rPr>
              <w:t>Ope</w:t>
            </w:r>
            <w:r>
              <w:rPr>
                <w:sz w:val="18"/>
              </w:rPr>
              <w:t>x</w:t>
            </w:r>
            <w:proofErr w:type="spellEnd"/>
            <w:r>
              <w:rPr>
                <w:sz w:val="18"/>
              </w:rPr>
              <w:t xml:space="preserve"> from</w:t>
            </w:r>
            <w:r w:rsidRPr="00E54AE4">
              <w:rPr>
                <w:sz w:val="18"/>
              </w:rPr>
              <w:t xml:space="preserve"> baseline</w:t>
            </w:r>
          </w:p>
        </w:tc>
        <w:tc>
          <w:tcPr>
            <w:tcW w:w="1186" w:type="dxa"/>
            <w:tcBorders>
              <w:bottom w:val="single" w:sz="4" w:space="0" w:color="DDDDDD"/>
            </w:tcBorders>
            <w:vAlign w:val="center"/>
          </w:tcPr>
          <w:p w14:paraId="7055DCAC"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28FFA341"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7226B653"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522D7374"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34B31929"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55D90293" w14:textId="77777777" w:rsidR="00F26D2B" w:rsidRPr="009911C3" w:rsidRDefault="00F26D2B" w:rsidP="00343A00">
            <w:pPr>
              <w:pStyle w:val="TableText"/>
              <w:keepNext/>
              <w:spacing w:before="40" w:after="40"/>
              <w:jc w:val="right"/>
            </w:pPr>
          </w:p>
        </w:tc>
      </w:tr>
      <w:tr w:rsidR="00F26D2B" w:rsidRPr="00CC1667" w14:paraId="3068AB4A" w14:textId="77777777" w:rsidTr="006E42F9">
        <w:tc>
          <w:tcPr>
            <w:tcW w:w="2240" w:type="dxa"/>
            <w:tcBorders>
              <w:bottom w:val="single" w:sz="12" w:space="0" w:color="DDDDDD"/>
            </w:tcBorders>
            <w:shd w:val="clear" w:color="auto" w:fill="DEEAF5"/>
            <w:vAlign w:val="center"/>
          </w:tcPr>
          <w:p w14:paraId="411E1E86" w14:textId="77777777" w:rsidR="00F26D2B" w:rsidRPr="00E54AE4" w:rsidRDefault="00F26D2B" w:rsidP="00343A00">
            <w:pPr>
              <w:keepNext/>
              <w:spacing w:before="40" w:after="40" w:line="240" w:lineRule="atLeast"/>
              <w:rPr>
                <w:sz w:val="18"/>
              </w:rPr>
            </w:pPr>
            <w:proofErr w:type="spellStart"/>
            <w:r>
              <w:rPr>
                <w:sz w:val="18"/>
              </w:rPr>
              <w:t>Opex</w:t>
            </w:r>
            <w:proofErr w:type="spellEnd"/>
            <w:r w:rsidRPr="00E54AE4">
              <w:rPr>
                <w:sz w:val="18"/>
              </w:rPr>
              <w:t xml:space="preserve"> required</w:t>
            </w:r>
            <w:r>
              <w:rPr>
                <w:sz w:val="18"/>
              </w:rPr>
              <w:t>^</w:t>
            </w:r>
          </w:p>
        </w:tc>
        <w:tc>
          <w:tcPr>
            <w:tcW w:w="1186" w:type="dxa"/>
            <w:tcBorders>
              <w:bottom w:val="single" w:sz="12" w:space="0" w:color="DDDDDD"/>
            </w:tcBorders>
            <w:vAlign w:val="center"/>
          </w:tcPr>
          <w:p w14:paraId="3B85BFD7"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151D7326"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25D73CB1"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4D401B81"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2F6C0F76"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5F99F569" w14:textId="77777777" w:rsidR="00F26D2B" w:rsidRPr="009911C3" w:rsidRDefault="00F26D2B" w:rsidP="00343A00">
            <w:pPr>
              <w:pStyle w:val="TableText"/>
              <w:keepNext/>
              <w:spacing w:before="40" w:after="40"/>
              <w:jc w:val="right"/>
            </w:pPr>
          </w:p>
        </w:tc>
      </w:tr>
      <w:tr w:rsidR="00F26D2B" w:rsidRPr="00CC1667" w14:paraId="6B299C31" w14:textId="77777777" w:rsidTr="006E42F9">
        <w:trPr>
          <w:trHeight w:val="283"/>
        </w:trPr>
        <w:tc>
          <w:tcPr>
            <w:tcW w:w="2240" w:type="dxa"/>
            <w:tcBorders>
              <w:top w:val="single" w:sz="12" w:space="0" w:color="DDDDDD"/>
            </w:tcBorders>
            <w:shd w:val="clear" w:color="auto" w:fill="DEEAF5"/>
            <w:vAlign w:val="center"/>
          </w:tcPr>
          <w:p w14:paraId="3A80102C" w14:textId="77777777" w:rsidR="00F26D2B" w:rsidRPr="00486BC3" w:rsidRDefault="00F26D2B" w:rsidP="00343A00">
            <w:pPr>
              <w:keepNext/>
              <w:spacing w:before="40" w:after="40" w:line="240" w:lineRule="atLeast"/>
              <w:rPr>
                <w:sz w:val="18"/>
              </w:rPr>
            </w:pPr>
            <w:r>
              <w:rPr>
                <w:sz w:val="18"/>
              </w:rPr>
              <w:t>Total Investment</w:t>
            </w:r>
          </w:p>
        </w:tc>
        <w:tc>
          <w:tcPr>
            <w:tcW w:w="1186" w:type="dxa"/>
            <w:tcBorders>
              <w:top w:val="single" w:sz="12" w:space="0" w:color="DDDDDD"/>
            </w:tcBorders>
            <w:shd w:val="clear" w:color="auto" w:fill="F2F2F2"/>
            <w:vAlign w:val="center"/>
          </w:tcPr>
          <w:p w14:paraId="5DF93D1A" w14:textId="77777777" w:rsidR="00F26D2B" w:rsidRPr="009911C3" w:rsidRDefault="00F26D2B" w:rsidP="00343A00">
            <w:pPr>
              <w:pStyle w:val="TableText"/>
              <w:spacing w:before="40" w:after="40"/>
              <w:jc w:val="right"/>
            </w:pPr>
          </w:p>
        </w:tc>
        <w:tc>
          <w:tcPr>
            <w:tcW w:w="1186" w:type="dxa"/>
            <w:tcBorders>
              <w:top w:val="single" w:sz="12" w:space="0" w:color="DDDDDD"/>
            </w:tcBorders>
            <w:shd w:val="clear" w:color="auto" w:fill="F2F2F2"/>
            <w:vAlign w:val="center"/>
          </w:tcPr>
          <w:p w14:paraId="3DA9F579" w14:textId="77777777" w:rsidR="00F26D2B" w:rsidRPr="009911C3" w:rsidRDefault="00F26D2B" w:rsidP="00343A00">
            <w:pPr>
              <w:pStyle w:val="TableText"/>
              <w:spacing w:before="40" w:after="40"/>
              <w:jc w:val="right"/>
            </w:pPr>
          </w:p>
        </w:tc>
        <w:tc>
          <w:tcPr>
            <w:tcW w:w="1186" w:type="dxa"/>
            <w:tcBorders>
              <w:top w:val="single" w:sz="12" w:space="0" w:color="DDDDDD"/>
            </w:tcBorders>
            <w:shd w:val="clear" w:color="auto" w:fill="F2F2F2"/>
            <w:vAlign w:val="center"/>
          </w:tcPr>
          <w:p w14:paraId="3C3AF36E" w14:textId="77777777" w:rsidR="00F26D2B" w:rsidRPr="009911C3" w:rsidRDefault="00F26D2B" w:rsidP="00343A00">
            <w:pPr>
              <w:pStyle w:val="TableText"/>
              <w:spacing w:before="40" w:after="40"/>
              <w:jc w:val="right"/>
            </w:pPr>
          </w:p>
        </w:tc>
        <w:tc>
          <w:tcPr>
            <w:tcW w:w="1186" w:type="dxa"/>
            <w:tcBorders>
              <w:top w:val="single" w:sz="12" w:space="0" w:color="DDDDDD"/>
            </w:tcBorders>
            <w:shd w:val="clear" w:color="auto" w:fill="F2F2F2"/>
            <w:vAlign w:val="center"/>
          </w:tcPr>
          <w:p w14:paraId="3C999FF3" w14:textId="77777777" w:rsidR="00F26D2B" w:rsidRPr="009911C3" w:rsidRDefault="00F26D2B" w:rsidP="00343A00">
            <w:pPr>
              <w:pStyle w:val="TableText"/>
              <w:spacing w:before="40" w:after="40"/>
              <w:jc w:val="right"/>
            </w:pPr>
          </w:p>
        </w:tc>
        <w:tc>
          <w:tcPr>
            <w:tcW w:w="1186" w:type="dxa"/>
            <w:tcBorders>
              <w:top w:val="single" w:sz="12" w:space="0" w:color="DDDDDD"/>
            </w:tcBorders>
            <w:shd w:val="clear" w:color="auto" w:fill="F2F2F2"/>
            <w:vAlign w:val="center"/>
          </w:tcPr>
          <w:p w14:paraId="6C99F0B6" w14:textId="77777777" w:rsidR="00F26D2B" w:rsidRPr="009911C3" w:rsidRDefault="00F26D2B" w:rsidP="00343A00">
            <w:pPr>
              <w:pStyle w:val="TableText"/>
              <w:spacing w:before="40" w:after="40"/>
              <w:jc w:val="right"/>
            </w:pPr>
          </w:p>
        </w:tc>
        <w:tc>
          <w:tcPr>
            <w:tcW w:w="1186" w:type="dxa"/>
            <w:tcBorders>
              <w:top w:val="single" w:sz="12" w:space="0" w:color="DDDDDD"/>
            </w:tcBorders>
            <w:shd w:val="clear" w:color="auto" w:fill="F2F2F2"/>
            <w:vAlign w:val="center"/>
          </w:tcPr>
          <w:p w14:paraId="68B4623D" w14:textId="77777777" w:rsidR="00F26D2B" w:rsidRPr="009911C3" w:rsidRDefault="00F26D2B" w:rsidP="00343A00">
            <w:pPr>
              <w:pStyle w:val="TableText"/>
              <w:spacing w:before="40" w:after="40"/>
              <w:jc w:val="right"/>
            </w:pPr>
          </w:p>
        </w:tc>
      </w:tr>
      <w:tr w:rsidR="00F26D2B" w:rsidRPr="009E4F10" w14:paraId="361C0EE7" w14:textId="77777777" w:rsidTr="006E42F9">
        <w:trPr>
          <w:trHeight w:val="283"/>
        </w:trPr>
        <w:tc>
          <w:tcPr>
            <w:tcW w:w="9356" w:type="dxa"/>
            <w:gridSpan w:val="7"/>
            <w:shd w:val="clear" w:color="auto" w:fill="DEEAF5"/>
            <w:vAlign w:val="center"/>
          </w:tcPr>
          <w:p w14:paraId="365A026E" w14:textId="77777777" w:rsidR="00F26D2B" w:rsidRPr="009E4F10" w:rsidRDefault="00F26D2B" w:rsidP="00343A00">
            <w:pPr>
              <w:pStyle w:val="TableText"/>
              <w:keepNext/>
              <w:spacing w:before="40" w:after="40"/>
              <w:rPr>
                <w:color w:val="002060"/>
              </w:rPr>
            </w:pPr>
            <w:r w:rsidRPr="00D362C3">
              <w:rPr>
                <w:color w:val="002060"/>
                <w:u w:val="single"/>
              </w:rPr>
              <w:t>Changes</w:t>
            </w:r>
            <w:r>
              <w:rPr>
                <w:color w:val="002060"/>
              </w:rPr>
              <w:t xml:space="preserve"> to revenues and ongoing operating costs</w:t>
            </w:r>
            <w:r w:rsidRPr="009E4F10">
              <w:rPr>
                <w:color w:val="002060"/>
              </w:rPr>
              <w:t>:</w:t>
            </w:r>
          </w:p>
        </w:tc>
      </w:tr>
      <w:tr w:rsidR="00F26D2B" w:rsidRPr="00CC1667" w14:paraId="185629AF" w14:textId="77777777" w:rsidTr="006E42F9">
        <w:tc>
          <w:tcPr>
            <w:tcW w:w="2240" w:type="dxa"/>
            <w:shd w:val="clear" w:color="auto" w:fill="DEEAF5"/>
            <w:vAlign w:val="center"/>
          </w:tcPr>
          <w:p w14:paraId="6D747EB2" w14:textId="77777777" w:rsidR="00F26D2B" w:rsidRPr="00E54AE4" w:rsidRDefault="00F26D2B" w:rsidP="00343A00">
            <w:pPr>
              <w:keepNext/>
              <w:spacing w:before="40" w:after="40" w:line="240" w:lineRule="atLeast"/>
              <w:rPr>
                <w:sz w:val="18"/>
              </w:rPr>
            </w:pPr>
            <w:r>
              <w:rPr>
                <w:sz w:val="18"/>
              </w:rPr>
              <w:t>Revenue baseline</w:t>
            </w:r>
            <w:r w:rsidRPr="009F324A">
              <w:rPr>
                <w:sz w:val="18"/>
                <w:vertAlign w:val="superscript"/>
              </w:rPr>
              <w:t>#</w:t>
            </w:r>
          </w:p>
        </w:tc>
        <w:tc>
          <w:tcPr>
            <w:tcW w:w="1186" w:type="dxa"/>
            <w:tcBorders>
              <w:bottom w:val="single" w:sz="4" w:space="0" w:color="DDDDDD"/>
            </w:tcBorders>
            <w:vAlign w:val="center"/>
          </w:tcPr>
          <w:p w14:paraId="292D5725"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4B74F03F"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60317781"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64C268CD"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113B719E"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30827884" w14:textId="77777777" w:rsidR="00F26D2B" w:rsidRPr="009911C3" w:rsidRDefault="00F26D2B" w:rsidP="00343A00">
            <w:pPr>
              <w:pStyle w:val="TableText"/>
              <w:keepNext/>
              <w:spacing w:before="40" w:after="40"/>
              <w:jc w:val="right"/>
            </w:pPr>
          </w:p>
        </w:tc>
      </w:tr>
      <w:tr w:rsidR="00F26D2B" w:rsidRPr="00CC1667" w14:paraId="3396668F" w14:textId="77777777" w:rsidTr="006E42F9">
        <w:tc>
          <w:tcPr>
            <w:tcW w:w="2240" w:type="dxa"/>
            <w:shd w:val="clear" w:color="auto" w:fill="DEEAF5"/>
            <w:vAlign w:val="center"/>
          </w:tcPr>
          <w:p w14:paraId="3C89EE39" w14:textId="77777777" w:rsidR="00F26D2B" w:rsidRDefault="00F26D2B" w:rsidP="00343A00">
            <w:pPr>
              <w:keepNext/>
              <w:spacing w:before="40" w:after="40" w:line="240" w:lineRule="atLeast"/>
              <w:rPr>
                <w:sz w:val="18"/>
              </w:rPr>
            </w:pPr>
            <w:r>
              <w:rPr>
                <w:sz w:val="18"/>
              </w:rPr>
              <w:t>Revenue other</w:t>
            </w:r>
          </w:p>
        </w:tc>
        <w:tc>
          <w:tcPr>
            <w:tcW w:w="1186" w:type="dxa"/>
            <w:tcBorders>
              <w:bottom w:val="single" w:sz="4" w:space="0" w:color="DDDDDD"/>
            </w:tcBorders>
            <w:vAlign w:val="center"/>
          </w:tcPr>
          <w:p w14:paraId="1284DDC5"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0E3C98F9"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45C54A18"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3CB8590E"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073D3BDE"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532E5597" w14:textId="77777777" w:rsidR="00F26D2B" w:rsidRPr="009911C3" w:rsidRDefault="00F26D2B" w:rsidP="00343A00">
            <w:pPr>
              <w:pStyle w:val="TableText"/>
              <w:keepNext/>
              <w:spacing w:before="40" w:after="40"/>
              <w:jc w:val="right"/>
            </w:pPr>
          </w:p>
        </w:tc>
      </w:tr>
      <w:tr w:rsidR="00F26D2B" w:rsidRPr="00CC1667" w14:paraId="66BF31F2" w14:textId="77777777" w:rsidTr="006E42F9">
        <w:tc>
          <w:tcPr>
            <w:tcW w:w="2240" w:type="dxa"/>
            <w:tcBorders>
              <w:bottom w:val="single" w:sz="12" w:space="0" w:color="DDDDDD"/>
            </w:tcBorders>
            <w:shd w:val="clear" w:color="auto" w:fill="DEEAF5"/>
            <w:vAlign w:val="center"/>
          </w:tcPr>
          <w:p w14:paraId="2BE95A96" w14:textId="77777777" w:rsidR="00F26D2B" w:rsidRPr="00E54AE4" w:rsidRDefault="00F26D2B" w:rsidP="00343A00">
            <w:pPr>
              <w:keepNext/>
              <w:spacing w:before="40" w:after="40" w:line="240" w:lineRule="atLeast"/>
              <w:rPr>
                <w:sz w:val="18"/>
              </w:rPr>
            </w:pPr>
            <w:r>
              <w:rPr>
                <w:sz w:val="18"/>
              </w:rPr>
              <w:t>Operating costs</w:t>
            </w:r>
          </w:p>
        </w:tc>
        <w:tc>
          <w:tcPr>
            <w:tcW w:w="1186" w:type="dxa"/>
            <w:tcBorders>
              <w:bottom w:val="single" w:sz="4" w:space="0" w:color="DDDDDD"/>
            </w:tcBorders>
            <w:vAlign w:val="center"/>
          </w:tcPr>
          <w:p w14:paraId="3244EFC7"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19AF837B"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7D53C585"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11CD763B"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123D731A" w14:textId="77777777" w:rsidR="00F26D2B" w:rsidRPr="009911C3" w:rsidRDefault="00F26D2B" w:rsidP="00343A00">
            <w:pPr>
              <w:pStyle w:val="TableText"/>
              <w:keepNext/>
              <w:spacing w:before="40" w:after="40"/>
              <w:jc w:val="right"/>
            </w:pPr>
          </w:p>
        </w:tc>
        <w:tc>
          <w:tcPr>
            <w:tcW w:w="1186" w:type="dxa"/>
            <w:tcBorders>
              <w:bottom w:val="single" w:sz="4" w:space="0" w:color="DDDDDD"/>
            </w:tcBorders>
            <w:vAlign w:val="center"/>
          </w:tcPr>
          <w:p w14:paraId="5A7572BA" w14:textId="77777777" w:rsidR="00F26D2B" w:rsidRPr="009911C3" w:rsidRDefault="00F26D2B" w:rsidP="00343A00">
            <w:pPr>
              <w:pStyle w:val="TableText"/>
              <w:keepNext/>
              <w:spacing w:before="40" w:after="40"/>
              <w:jc w:val="right"/>
            </w:pPr>
          </w:p>
        </w:tc>
      </w:tr>
      <w:tr w:rsidR="00F26D2B" w:rsidRPr="00CC1667" w14:paraId="4F0AA61C" w14:textId="77777777" w:rsidTr="006E42F9">
        <w:tc>
          <w:tcPr>
            <w:tcW w:w="2240" w:type="dxa"/>
            <w:tcBorders>
              <w:bottom w:val="single" w:sz="12" w:space="0" w:color="DDDDDD"/>
            </w:tcBorders>
            <w:shd w:val="clear" w:color="auto" w:fill="DEEAF5"/>
            <w:vAlign w:val="center"/>
          </w:tcPr>
          <w:p w14:paraId="4FEBEBBA" w14:textId="77777777" w:rsidR="00F26D2B" w:rsidRDefault="00F26D2B" w:rsidP="00343A00">
            <w:pPr>
              <w:keepNext/>
              <w:spacing w:before="40" w:after="40" w:line="240" w:lineRule="atLeast"/>
              <w:rPr>
                <w:sz w:val="18"/>
              </w:rPr>
            </w:pPr>
            <w:proofErr w:type="spellStart"/>
            <w:r>
              <w:rPr>
                <w:sz w:val="18"/>
              </w:rPr>
              <w:t>Dep’n</w:t>
            </w:r>
            <w:proofErr w:type="spellEnd"/>
            <w:r>
              <w:rPr>
                <w:sz w:val="18"/>
              </w:rPr>
              <w:t xml:space="preserve"> &amp; </w:t>
            </w:r>
            <w:proofErr w:type="spellStart"/>
            <w:r>
              <w:rPr>
                <w:sz w:val="18"/>
              </w:rPr>
              <w:t>Cap.charge</w:t>
            </w:r>
            <w:proofErr w:type="spellEnd"/>
            <w:r w:rsidRPr="006F0D20">
              <w:rPr>
                <w:rFonts w:cs="Arial"/>
                <w:sz w:val="20"/>
                <w:vertAlign w:val="superscript"/>
              </w:rPr>
              <w:t>∞</w:t>
            </w:r>
          </w:p>
        </w:tc>
        <w:tc>
          <w:tcPr>
            <w:tcW w:w="1186" w:type="dxa"/>
            <w:tcBorders>
              <w:bottom w:val="single" w:sz="12" w:space="0" w:color="DDDDDD"/>
            </w:tcBorders>
            <w:vAlign w:val="center"/>
          </w:tcPr>
          <w:p w14:paraId="28BF1E1B"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46F2BBFD"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6922AC01"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722D8D0F"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58896B77" w14:textId="77777777" w:rsidR="00F26D2B" w:rsidRPr="009911C3" w:rsidRDefault="00F26D2B" w:rsidP="00343A00">
            <w:pPr>
              <w:pStyle w:val="TableText"/>
              <w:keepNext/>
              <w:spacing w:before="40" w:after="40"/>
              <w:jc w:val="right"/>
            </w:pPr>
          </w:p>
        </w:tc>
        <w:tc>
          <w:tcPr>
            <w:tcW w:w="1186" w:type="dxa"/>
            <w:tcBorders>
              <w:bottom w:val="single" w:sz="12" w:space="0" w:color="DDDDDD"/>
            </w:tcBorders>
            <w:vAlign w:val="center"/>
          </w:tcPr>
          <w:p w14:paraId="2AEC872D" w14:textId="77777777" w:rsidR="00F26D2B" w:rsidRPr="009911C3" w:rsidRDefault="00F26D2B" w:rsidP="00343A00">
            <w:pPr>
              <w:pStyle w:val="TableText"/>
              <w:keepNext/>
              <w:spacing w:before="40" w:after="40"/>
              <w:jc w:val="right"/>
            </w:pPr>
          </w:p>
        </w:tc>
      </w:tr>
      <w:tr w:rsidR="00F26D2B" w:rsidRPr="00CC1667" w14:paraId="5424D1E5" w14:textId="77777777" w:rsidTr="006E42F9">
        <w:tc>
          <w:tcPr>
            <w:tcW w:w="2240" w:type="dxa"/>
            <w:tcBorders>
              <w:top w:val="single" w:sz="12" w:space="0" w:color="DDDDDD"/>
              <w:left w:val="single" w:sz="12" w:space="0" w:color="DDDDDD"/>
              <w:bottom w:val="single" w:sz="12" w:space="0" w:color="DDDDDD"/>
              <w:right w:val="single" w:sz="12" w:space="0" w:color="DDDDDD"/>
            </w:tcBorders>
            <w:shd w:val="clear" w:color="auto" w:fill="DEEAF5"/>
            <w:vAlign w:val="center"/>
          </w:tcPr>
          <w:p w14:paraId="66935510" w14:textId="77777777" w:rsidR="00F26D2B" w:rsidRPr="00486BC3" w:rsidRDefault="00F26D2B" w:rsidP="00343A00">
            <w:pPr>
              <w:keepNext/>
              <w:spacing w:before="40" w:after="40" w:line="240" w:lineRule="atLeast"/>
              <w:rPr>
                <w:sz w:val="18"/>
              </w:rPr>
            </w:pPr>
            <w:r>
              <w:rPr>
                <w:sz w:val="18"/>
              </w:rPr>
              <w:t>Net Operating Change</w:t>
            </w: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3D333F4C" w14:textId="77777777" w:rsidR="00F26D2B" w:rsidRPr="009911C3" w:rsidRDefault="00F26D2B" w:rsidP="00343A00">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72102371" w14:textId="77777777" w:rsidR="00F26D2B" w:rsidRPr="009911C3" w:rsidRDefault="00F26D2B" w:rsidP="00343A00">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702CA846" w14:textId="77777777" w:rsidR="00F26D2B" w:rsidRPr="009911C3" w:rsidRDefault="00F26D2B" w:rsidP="00343A00">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7C4079F1" w14:textId="77777777" w:rsidR="00F26D2B" w:rsidRPr="009911C3" w:rsidRDefault="00F26D2B" w:rsidP="00343A00">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5092FDC6" w14:textId="77777777" w:rsidR="00F26D2B" w:rsidRPr="009911C3" w:rsidRDefault="00F26D2B" w:rsidP="00343A00">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321E6C13" w14:textId="77777777" w:rsidR="00F26D2B" w:rsidRPr="009911C3" w:rsidRDefault="00F26D2B" w:rsidP="00343A00">
            <w:pPr>
              <w:pStyle w:val="TableText"/>
              <w:keepNext/>
              <w:spacing w:before="40" w:after="40"/>
              <w:jc w:val="right"/>
            </w:pPr>
          </w:p>
        </w:tc>
      </w:tr>
    </w:tbl>
    <w:p w14:paraId="2395127D" w14:textId="71CA4675" w:rsidR="00F26D2B" w:rsidRDefault="00F26D2B" w:rsidP="00414BEF">
      <w:pPr>
        <w:spacing w:before="60" w:line="240" w:lineRule="auto"/>
        <w:rPr>
          <w:rFonts w:cs="Arial"/>
          <w:sz w:val="18"/>
        </w:rPr>
      </w:pPr>
      <w:r w:rsidRPr="007C273F">
        <w:rPr>
          <w:b/>
          <w:sz w:val="18"/>
        </w:rPr>
        <w:t>Note:</w:t>
      </w:r>
      <w:r>
        <w:rPr>
          <w:sz w:val="18"/>
        </w:rPr>
        <w:t xml:space="preserve"> *From capital reserves. ^Project time-limited funding.</w:t>
      </w:r>
      <w:r w:rsidRPr="00827D51">
        <w:rPr>
          <w:sz w:val="18"/>
        </w:rPr>
        <w:t xml:space="preserve"> </w:t>
      </w:r>
      <w:r w:rsidRPr="009F324A">
        <w:rPr>
          <w:sz w:val="18"/>
          <w:vertAlign w:val="superscript"/>
        </w:rPr>
        <w:t>#</w:t>
      </w:r>
      <w:r>
        <w:rPr>
          <w:sz w:val="18"/>
        </w:rPr>
        <w:t xml:space="preserve">Crown revenue excluding time-limited project funding. Costs include all contingencies. Project </w:t>
      </w:r>
      <w:proofErr w:type="spellStart"/>
      <w:r>
        <w:rPr>
          <w:sz w:val="18"/>
        </w:rPr>
        <w:t>Opex</w:t>
      </w:r>
      <w:proofErr w:type="spellEnd"/>
      <w:r>
        <w:rPr>
          <w:sz w:val="18"/>
        </w:rPr>
        <w:t xml:space="preserve"> includes project-related costs including</w:t>
      </w:r>
      <w:r w:rsidRPr="00EC0F52">
        <w:rPr>
          <w:sz w:val="18"/>
        </w:rPr>
        <w:t xml:space="preserve"> independent quality assurance, quantitative risk analysis, Gate</w:t>
      </w:r>
      <w:r>
        <w:rPr>
          <w:sz w:val="18"/>
        </w:rPr>
        <w:t>way reviews,</w:t>
      </w:r>
      <w:r w:rsidRPr="00EC0F52">
        <w:rPr>
          <w:sz w:val="18"/>
        </w:rPr>
        <w:t xml:space="preserve"> any decommissioning</w:t>
      </w:r>
      <w:r>
        <w:rPr>
          <w:sz w:val="18"/>
        </w:rPr>
        <w:t xml:space="preserve">. </w:t>
      </w:r>
      <w:r w:rsidRPr="006F0D20">
        <w:rPr>
          <w:rFonts w:cs="Arial"/>
          <w:sz w:val="20"/>
          <w:vertAlign w:val="superscript"/>
        </w:rPr>
        <w:t>∞</w:t>
      </w:r>
      <w:r w:rsidRPr="001A1A48">
        <w:rPr>
          <w:rFonts w:cs="Arial"/>
          <w:sz w:val="18"/>
        </w:rPr>
        <w:t>Depreciation</w:t>
      </w:r>
      <w:r>
        <w:rPr>
          <w:rFonts w:cs="Arial"/>
          <w:sz w:val="18"/>
        </w:rPr>
        <w:t xml:space="preserve"> &amp; Capital charge.</w:t>
      </w:r>
    </w:p>
    <w:p w14:paraId="4FE49EBB" w14:textId="0F80B4AF" w:rsidR="00D43A1A" w:rsidRPr="00607C47" w:rsidRDefault="00D43A1A" w:rsidP="003D5AF3">
      <w:pPr>
        <w:spacing w:line="260" w:lineRule="atLeast"/>
        <w:rPr>
          <w:rStyle w:val="Emphasis"/>
          <w:i w:val="0"/>
          <w:sz w:val="22"/>
          <w:szCs w:val="22"/>
        </w:rPr>
      </w:pPr>
      <w:r w:rsidRPr="00607C47">
        <w:rPr>
          <w:rStyle w:val="Emphasis"/>
          <w:i w:val="0"/>
          <w:sz w:val="22"/>
          <w:szCs w:val="22"/>
        </w:rPr>
        <w:t>Appropriate contingencies have been made for risks and uncertainties</w:t>
      </w:r>
      <w:r w:rsidR="009B3F33" w:rsidRPr="00607C47">
        <w:rPr>
          <w:rStyle w:val="Emphasis"/>
          <w:i w:val="0"/>
          <w:sz w:val="22"/>
          <w:szCs w:val="22"/>
        </w:rPr>
        <w:t xml:space="preserve"> including</w:t>
      </w:r>
      <w:r w:rsidRPr="00607C47">
        <w:rPr>
          <w:rStyle w:val="Emphasis"/>
          <w:i w:val="0"/>
          <w:sz w:val="22"/>
          <w:szCs w:val="22"/>
          <w:highlight w:val="yellow"/>
        </w:rPr>
        <w:t>…...</w:t>
      </w:r>
    </w:p>
    <w:p w14:paraId="10AA4B8C" w14:textId="2EFB7BBD" w:rsidR="00EF5B83" w:rsidRPr="00607C47" w:rsidRDefault="00EF5B83" w:rsidP="003D5AF3">
      <w:pPr>
        <w:spacing w:line="260" w:lineRule="atLeast"/>
        <w:rPr>
          <w:rStyle w:val="Emphasis"/>
          <w:i w:val="0"/>
          <w:sz w:val="22"/>
          <w:szCs w:val="22"/>
        </w:rPr>
      </w:pPr>
      <w:r w:rsidRPr="00607C47">
        <w:rPr>
          <w:rStyle w:val="Emphasis"/>
          <w:i w:val="0"/>
          <w:sz w:val="22"/>
          <w:szCs w:val="22"/>
        </w:rPr>
        <w:t>The proposed funding arrangements are</w:t>
      </w:r>
      <w:r w:rsidR="00A41A07" w:rsidRPr="00607C47">
        <w:rPr>
          <w:rStyle w:val="Emphasis"/>
          <w:i w:val="0"/>
          <w:sz w:val="22"/>
          <w:szCs w:val="22"/>
        </w:rPr>
        <w:t xml:space="preserve"> </w:t>
      </w:r>
      <w:r w:rsidRPr="00607C47">
        <w:rPr>
          <w:rStyle w:val="Emphasis"/>
          <w:i w:val="0"/>
          <w:sz w:val="22"/>
          <w:szCs w:val="22"/>
          <w:highlight w:val="yellow"/>
        </w:rPr>
        <w:t>……</w:t>
      </w:r>
      <w:r w:rsidRPr="00607C47">
        <w:rPr>
          <w:rStyle w:val="Emphasis"/>
          <w:i w:val="0"/>
          <w:sz w:val="22"/>
          <w:szCs w:val="22"/>
        </w:rPr>
        <w:t xml:space="preserve"> </w:t>
      </w:r>
    </w:p>
    <w:p w14:paraId="38F05CEB" w14:textId="2A1A9A29" w:rsidR="00834A9C" w:rsidRPr="00607C47" w:rsidRDefault="00834A9C" w:rsidP="003D5AF3">
      <w:pPr>
        <w:spacing w:line="260" w:lineRule="atLeast"/>
        <w:rPr>
          <w:rStyle w:val="Emphasis"/>
          <w:i w:val="0"/>
          <w:sz w:val="22"/>
          <w:szCs w:val="22"/>
        </w:rPr>
      </w:pPr>
      <w:r w:rsidRPr="00607C47">
        <w:rPr>
          <w:rStyle w:val="Emphasis"/>
          <w:i w:val="0"/>
          <w:sz w:val="22"/>
          <w:szCs w:val="22"/>
        </w:rPr>
        <w:t>The</w:t>
      </w:r>
      <w:r w:rsidR="00A57521" w:rsidRPr="00607C47">
        <w:rPr>
          <w:rStyle w:val="Emphasis"/>
          <w:i w:val="0"/>
          <w:sz w:val="22"/>
          <w:szCs w:val="22"/>
        </w:rPr>
        <w:t xml:space="preserve"> </w:t>
      </w:r>
      <w:r w:rsidR="00D35F23" w:rsidRPr="00607C47">
        <w:rPr>
          <w:rStyle w:val="Emphasis"/>
          <w:i w:val="0"/>
          <w:sz w:val="22"/>
          <w:szCs w:val="22"/>
        </w:rPr>
        <w:t>organisation’s</w:t>
      </w:r>
      <w:r w:rsidR="00A57521" w:rsidRPr="00607C47">
        <w:rPr>
          <w:rStyle w:val="Emphasis"/>
          <w:i w:val="0"/>
          <w:sz w:val="22"/>
          <w:szCs w:val="22"/>
        </w:rPr>
        <w:t xml:space="preserve"> </w:t>
      </w:r>
      <w:r w:rsidR="00864495" w:rsidRPr="00607C47">
        <w:rPr>
          <w:rStyle w:val="Emphasis"/>
          <w:i w:val="0"/>
          <w:sz w:val="22"/>
          <w:szCs w:val="22"/>
          <w:highlight w:val="yellow"/>
        </w:rPr>
        <w:t>[CEO/CFO]</w:t>
      </w:r>
      <w:r w:rsidR="00864495" w:rsidRPr="00607C47">
        <w:rPr>
          <w:rStyle w:val="Emphasis"/>
          <w:i w:val="0"/>
          <w:sz w:val="22"/>
          <w:szCs w:val="22"/>
        </w:rPr>
        <w:t xml:space="preserve"> has reviewed the financial analysis and modelling, and confirmed </w:t>
      </w:r>
      <w:r w:rsidR="00264788" w:rsidRPr="00607C47">
        <w:rPr>
          <w:rStyle w:val="Emphasis"/>
          <w:i w:val="0"/>
          <w:sz w:val="22"/>
          <w:szCs w:val="22"/>
        </w:rPr>
        <w:t xml:space="preserve">that the total whole-of-life cost for this investment of </w:t>
      </w:r>
      <w:r w:rsidR="00264788" w:rsidRPr="00607C47">
        <w:rPr>
          <w:rStyle w:val="Emphasis"/>
          <w:i w:val="0"/>
          <w:sz w:val="22"/>
          <w:szCs w:val="22"/>
          <w:highlight w:val="yellow"/>
        </w:rPr>
        <w:t>[$xxx</w:t>
      </w:r>
      <w:r w:rsidR="0003530F" w:rsidRPr="00607C47">
        <w:rPr>
          <w:rStyle w:val="Emphasis"/>
          <w:i w:val="0"/>
          <w:sz w:val="22"/>
          <w:szCs w:val="22"/>
          <w:highlight w:val="yellow"/>
        </w:rPr>
        <w:t xml:space="preserve"> million</w:t>
      </w:r>
      <w:r w:rsidR="00264788" w:rsidRPr="00607C47">
        <w:rPr>
          <w:rStyle w:val="Emphasis"/>
          <w:i w:val="0"/>
          <w:sz w:val="22"/>
          <w:szCs w:val="22"/>
          <w:highlight w:val="yellow"/>
        </w:rPr>
        <w:t>]</w:t>
      </w:r>
      <w:r w:rsidR="00264788" w:rsidRPr="00607C47">
        <w:rPr>
          <w:rStyle w:val="Emphasis"/>
          <w:i w:val="0"/>
          <w:sz w:val="22"/>
          <w:szCs w:val="22"/>
        </w:rPr>
        <w:t xml:space="preserve"> over </w:t>
      </w:r>
      <w:r w:rsidR="00264788" w:rsidRPr="00607C47">
        <w:rPr>
          <w:rStyle w:val="Emphasis"/>
          <w:i w:val="0"/>
          <w:sz w:val="22"/>
          <w:szCs w:val="22"/>
          <w:highlight w:val="yellow"/>
        </w:rPr>
        <w:t>x</w:t>
      </w:r>
      <w:r w:rsidR="00264788" w:rsidRPr="00607C47">
        <w:rPr>
          <w:rStyle w:val="Emphasis"/>
          <w:i w:val="0"/>
          <w:sz w:val="22"/>
          <w:szCs w:val="22"/>
        </w:rPr>
        <w:t xml:space="preserve"> years for</w:t>
      </w:r>
      <w:r w:rsidR="00864495" w:rsidRPr="00607C47">
        <w:rPr>
          <w:rStyle w:val="Emphasis"/>
          <w:i w:val="0"/>
          <w:sz w:val="22"/>
          <w:szCs w:val="22"/>
        </w:rPr>
        <w:t xml:space="preserve"> </w:t>
      </w:r>
      <w:r w:rsidRPr="00607C47">
        <w:rPr>
          <w:rStyle w:val="Emphasis"/>
          <w:i w:val="0"/>
          <w:sz w:val="22"/>
          <w:szCs w:val="22"/>
        </w:rPr>
        <w:t xml:space="preserve">the </w:t>
      </w:r>
      <w:r w:rsidR="00864495" w:rsidRPr="00607C47">
        <w:rPr>
          <w:rStyle w:val="Emphasis"/>
          <w:i w:val="0"/>
          <w:sz w:val="22"/>
          <w:szCs w:val="22"/>
        </w:rPr>
        <w:t>P</w:t>
      </w:r>
      <w:r w:rsidRPr="00607C47">
        <w:rPr>
          <w:rStyle w:val="Emphasis"/>
          <w:i w:val="0"/>
          <w:sz w:val="22"/>
          <w:szCs w:val="22"/>
        </w:rPr>
        <w:t>refe</w:t>
      </w:r>
      <w:r w:rsidR="00864495" w:rsidRPr="00607C47">
        <w:rPr>
          <w:rStyle w:val="Emphasis"/>
          <w:i w:val="0"/>
          <w:sz w:val="22"/>
          <w:szCs w:val="22"/>
        </w:rPr>
        <w:t>rred O</w:t>
      </w:r>
      <w:r w:rsidR="00D969DF" w:rsidRPr="00607C47">
        <w:rPr>
          <w:rStyle w:val="Emphasis"/>
          <w:i w:val="0"/>
          <w:sz w:val="22"/>
          <w:szCs w:val="22"/>
        </w:rPr>
        <w:t xml:space="preserve">ption </w:t>
      </w:r>
      <w:r w:rsidRPr="00607C47">
        <w:rPr>
          <w:rStyle w:val="Emphasis"/>
          <w:i w:val="0"/>
          <w:sz w:val="22"/>
          <w:szCs w:val="22"/>
        </w:rPr>
        <w:t>is affordabl</w:t>
      </w:r>
      <w:r w:rsidR="004B3FF1" w:rsidRPr="00607C47">
        <w:rPr>
          <w:rStyle w:val="Emphasis"/>
          <w:i w:val="0"/>
          <w:sz w:val="22"/>
          <w:szCs w:val="22"/>
        </w:rPr>
        <w:t>e.</w:t>
      </w:r>
      <w:r w:rsidRPr="00607C47">
        <w:rPr>
          <w:rStyle w:val="Emphasis"/>
          <w:i w:val="0"/>
          <w:sz w:val="22"/>
          <w:szCs w:val="22"/>
        </w:rPr>
        <w:t xml:space="preserve"> </w:t>
      </w:r>
    </w:p>
    <w:p w14:paraId="7829683A" w14:textId="77777777" w:rsidR="001442F9" w:rsidRPr="00D17BFC" w:rsidRDefault="001442F9" w:rsidP="006E4FDB">
      <w:pPr>
        <w:pStyle w:val="Heading2"/>
      </w:pPr>
      <w:bookmarkStart w:id="60" w:name="_Toc25746760"/>
      <w:bookmarkStart w:id="61" w:name="_Toc31266886"/>
      <w:r w:rsidRPr="00D17BFC">
        <w:t>Management Case</w:t>
      </w:r>
      <w:bookmarkEnd w:id="60"/>
      <w:bookmarkEnd w:id="61"/>
    </w:p>
    <w:p w14:paraId="67907680" w14:textId="77777777" w:rsidR="00637061" w:rsidRDefault="00353007"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637061">
        <w:rPr>
          <w:rStyle w:val="Emphasis"/>
          <w:u w:val="single"/>
        </w:rPr>
        <w:t>Summarise</w:t>
      </w:r>
      <w:r w:rsidR="00A47C5F" w:rsidRPr="00A47C5F">
        <w:rPr>
          <w:rStyle w:val="Emphasis"/>
        </w:rPr>
        <w:t xml:space="preserve"> the </w:t>
      </w:r>
      <w:r w:rsidR="00AD0CF6" w:rsidRPr="00A47C5F">
        <w:rPr>
          <w:rStyle w:val="Emphasis"/>
        </w:rPr>
        <w:t xml:space="preserve">arrangements </w:t>
      </w:r>
      <w:r w:rsidR="00AD0CF6">
        <w:rPr>
          <w:rStyle w:val="Emphasis"/>
        </w:rPr>
        <w:t xml:space="preserve">for </w:t>
      </w:r>
      <w:r w:rsidR="00A47C5F" w:rsidRPr="00A47C5F">
        <w:rPr>
          <w:rStyle w:val="Emphasis"/>
        </w:rPr>
        <w:t>project</w:t>
      </w:r>
      <w:r w:rsidR="008C0150">
        <w:rPr>
          <w:rStyle w:val="Emphasis"/>
        </w:rPr>
        <w:t>/tranche</w:t>
      </w:r>
      <w:r w:rsidR="00A47C5F" w:rsidRPr="00A47C5F">
        <w:rPr>
          <w:rStyle w:val="Emphasis"/>
        </w:rPr>
        <w:t xml:space="preserve"> management</w:t>
      </w:r>
      <w:r w:rsidR="001442F9">
        <w:rPr>
          <w:rStyle w:val="Emphasis"/>
        </w:rPr>
        <w:t xml:space="preserve">, </w:t>
      </w:r>
      <w:r w:rsidR="00D80777">
        <w:rPr>
          <w:rStyle w:val="Emphasis"/>
        </w:rPr>
        <w:t>change</w:t>
      </w:r>
      <w:r w:rsidR="00AD0CF6">
        <w:rPr>
          <w:rStyle w:val="Emphasis"/>
        </w:rPr>
        <w:t xml:space="preserve"> and</w:t>
      </w:r>
      <w:r w:rsidR="00D80777">
        <w:rPr>
          <w:rStyle w:val="Emphasis"/>
        </w:rPr>
        <w:t xml:space="preserve"> </w:t>
      </w:r>
      <w:r w:rsidR="001442F9">
        <w:rPr>
          <w:rStyle w:val="Emphasis"/>
        </w:rPr>
        <w:t>benefit</w:t>
      </w:r>
      <w:r w:rsidR="00AD0CF6">
        <w:rPr>
          <w:rStyle w:val="Emphasis"/>
        </w:rPr>
        <w:t xml:space="preserve"> management</w:t>
      </w:r>
      <w:r w:rsidR="00685269">
        <w:rPr>
          <w:rStyle w:val="Emphasis"/>
        </w:rPr>
        <w:t>, contracts</w:t>
      </w:r>
      <w:r w:rsidR="001442F9">
        <w:rPr>
          <w:rStyle w:val="Emphasis"/>
        </w:rPr>
        <w:t xml:space="preserve"> and risk management, </w:t>
      </w:r>
      <w:r w:rsidR="00AD0CF6">
        <w:rPr>
          <w:rStyle w:val="Emphasis"/>
        </w:rPr>
        <w:t xml:space="preserve">assurance </w:t>
      </w:r>
      <w:r w:rsidR="001442F9">
        <w:rPr>
          <w:rStyle w:val="Emphasis"/>
        </w:rPr>
        <w:t>and post-project evaluation.</w:t>
      </w:r>
      <w:r w:rsidR="00247352">
        <w:rPr>
          <w:rStyle w:val="Emphasis"/>
        </w:rPr>
        <w:t xml:space="preserve"> </w:t>
      </w:r>
      <w:r w:rsidR="00A63AF5">
        <w:rPr>
          <w:rStyle w:val="Emphasis"/>
        </w:rPr>
        <w:t>Highlight the delivery methodology/techniques that will be used (such as Ag</w:t>
      </w:r>
      <w:r w:rsidR="00CB0D37">
        <w:rPr>
          <w:rStyle w:val="Emphasis"/>
        </w:rPr>
        <w:t>i</w:t>
      </w:r>
      <w:r w:rsidR="00A63AF5">
        <w:rPr>
          <w:rStyle w:val="Emphasis"/>
        </w:rPr>
        <w:t>le) and how this optimises delivery of the project/tranche</w:t>
      </w:r>
      <w:r w:rsidR="00637061">
        <w:rPr>
          <w:rStyle w:val="Emphasis"/>
        </w:rPr>
        <w:t>.</w:t>
      </w:r>
    </w:p>
    <w:p w14:paraId="2C1EE90A" w14:textId="7792A4DC" w:rsidR="001442F9" w:rsidRPr="00637061" w:rsidRDefault="00637061"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i w:val="0"/>
        </w:rPr>
      </w:pPr>
      <w:r>
        <w:rPr>
          <w:rStyle w:val="Emphasis"/>
        </w:rPr>
        <w:t xml:space="preserve">This information must match the information in the Project Management Plan </w:t>
      </w:r>
      <w:r w:rsidR="006C5E72">
        <w:rPr>
          <w:rStyle w:val="Emphasis"/>
        </w:rPr>
        <w:t>(</w:t>
      </w:r>
      <w:r>
        <w:rPr>
          <w:rStyle w:val="Emphasis"/>
        </w:rPr>
        <w:t>or equivalent document</w:t>
      </w:r>
      <w:r w:rsidR="006C5E72">
        <w:rPr>
          <w:rStyle w:val="Emphasis"/>
        </w:rPr>
        <w:t>(s)</w:t>
      </w:r>
      <w:r>
        <w:rPr>
          <w:rStyle w:val="Emphasis"/>
        </w:rPr>
        <w:t>.  It may b</w:t>
      </w:r>
      <w:r w:rsidR="00A57521">
        <w:rPr>
          <w:rStyle w:val="Emphasis"/>
        </w:rPr>
        <w:t>e taken from that document, or used as the basis for developing it</w:t>
      </w:r>
      <w:r w:rsidR="00A63AF5">
        <w:rPr>
          <w:rStyle w:val="Emphasis"/>
        </w:rPr>
        <w:t>.</w:t>
      </w:r>
      <w:r>
        <w:rPr>
          <w:rStyle w:val="Emphasis"/>
        </w:rPr>
        <w:t xml:space="preserve"> </w:t>
      </w:r>
      <w:r w:rsidR="00A57521">
        <w:rPr>
          <w:rStyle w:val="Emphasis"/>
        </w:rPr>
        <w:t xml:space="preserve"> The </w:t>
      </w:r>
      <w:proofErr w:type="spellStart"/>
      <w:r w:rsidR="00A57521">
        <w:rPr>
          <w:rStyle w:val="Emphasis"/>
        </w:rPr>
        <w:t>ImBC</w:t>
      </w:r>
      <w:proofErr w:type="spellEnd"/>
      <w:r w:rsidR="00B62BD7">
        <w:rPr>
          <w:rStyle w:val="Emphasis"/>
        </w:rPr>
        <w:t xml:space="preserve"> </w:t>
      </w:r>
      <w:r w:rsidR="006C5E72">
        <w:rPr>
          <w:rStyle w:val="Emphasis"/>
        </w:rPr>
        <w:t xml:space="preserve">should </w:t>
      </w:r>
      <w:r w:rsidR="00B62BD7">
        <w:rPr>
          <w:rStyle w:val="Emphasis"/>
        </w:rPr>
        <w:t xml:space="preserve">summarise or reference </w:t>
      </w:r>
      <w:r w:rsidR="006C5E72">
        <w:rPr>
          <w:rStyle w:val="Emphasis"/>
        </w:rPr>
        <w:t xml:space="preserve">other </w:t>
      </w:r>
      <w:r w:rsidR="00B62BD7">
        <w:rPr>
          <w:rStyle w:val="Emphasis"/>
        </w:rPr>
        <w:t xml:space="preserve">project control </w:t>
      </w:r>
      <w:r w:rsidR="006C5E72">
        <w:rPr>
          <w:rStyle w:val="Emphasis"/>
        </w:rPr>
        <w:t xml:space="preserve">or management </w:t>
      </w:r>
      <w:r w:rsidR="00B62BD7">
        <w:rPr>
          <w:rStyle w:val="Emphasis"/>
        </w:rPr>
        <w:t>documents (</w:t>
      </w:r>
      <w:proofErr w:type="spellStart"/>
      <w:r w:rsidR="00B62BD7">
        <w:rPr>
          <w:rStyle w:val="Emphasis"/>
        </w:rPr>
        <w:t>eg</w:t>
      </w:r>
      <w:proofErr w:type="spellEnd"/>
      <w:r w:rsidR="00B62BD7">
        <w:rPr>
          <w:rStyle w:val="Emphasis"/>
        </w:rPr>
        <w:t xml:space="preserve"> Benefits Realisation Plans</w:t>
      </w:r>
      <w:r w:rsidR="006C5E72">
        <w:rPr>
          <w:rStyle w:val="Emphasis"/>
        </w:rPr>
        <w:t>. Contracts</w:t>
      </w:r>
      <w:r w:rsidR="00B62BD7">
        <w:rPr>
          <w:rStyle w:val="Emphasis"/>
        </w:rPr>
        <w:t>)</w:t>
      </w:r>
      <w:r w:rsidR="00816460">
        <w:rPr>
          <w:rStyle w:val="Emphasis"/>
        </w:rPr>
        <w:t xml:space="preserve">. </w:t>
      </w:r>
      <w:r w:rsidR="00B62BD7">
        <w:rPr>
          <w:rStyle w:val="Emphasis"/>
        </w:rPr>
        <w:t xml:space="preserve">Whether annexed or not, the documents </w:t>
      </w:r>
      <w:r w:rsidR="00B62BD7" w:rsidRPr="00381117">
        <w:rPr>
          <w:rStyle w:val="Emphasis"/>
          <w:b/>
        </w:rPr>
        <w:t>must</w:t>
      </w:r>
      <w:r w:rsidR="00B62BD7">
        <w:rPr>
          <w:rStyle w:val="Emphasis"/>
        </w:rPr>
        <w:t xml:space="preserve"> be</w:t>
      </w:r>
      <w:r w:rsidR="008A7481">
        <w:rPr>
          <w:rStyle w:val="Emphasis"/>
        </w:rPr>
        <w:t xml:space="preserve"> listed in Annex 2 and made </w:t>
      </w:r>
      <w:r w:rsidR="00B62BD7">
        <w:rPr>
          <w:rStyle w:val="Emphasis"/>
        </w:rPr>
        <w:t>available to your business case reviewer or decision-makers on request, as evidence to support statements in the business case.</w:t>
      </w:r>
    </w:p>
    <w:p w14:paraId="38DEE49F" w14:textId="6A83A0ED" w:rsidR="00D94910" w:rsidRPr="00607C47" w:rsidRDefault="000F2F20" w:rsidP="003D5AF3">
      <w:pPr>
        <w:spacing w:line="260" w:lineRule="atLeast"/>
        <w:rPr>
          <w:szCs w:val="22"/>
        </w:rPr>
      </w:pPr>
      <w:r w:rsidRPr="00607C47">
        <w:rPr>
          <w:szCs w:val="22"/>
        </w:rPr>
        <w:t xml:space="preserve">The </w:t>
      </w:r>
      <w:r w:rsidR="002D5894" w:rsidRPr="00607C47">
        <w:rPr>
          <w:szCs w:val="22"/>
        </w:rPr>
        <w:t>organisation is confident that</w:t>
      </w:r>
      <w:r w:rsidRPr="00607C47">
        <w:rPr>
          <w:szCs w:val="22"/>
        </w:rPr>
        <w:t xml:space="preserve"> the</w:t>
      </w:r>
      <w:r w:rsidR="002D5894" w:rsidRPr="00607C47">
        <w:rPr>
          <w:szCs w:val="22"/>
        </w:rPr>
        <w:t xml:space="preserve"> proposed investment is</w:t>
      </w:r>
      <w:r w:rsidRPr="00607C47">
        <w:rPr>
          <w:szCs w:val="22"/>
        </w:rPr>
        <w:t xml:space="preserve"> achievab</w:t>
      </w:r>
      <w:r w:rsidR="002D5894" w:rsidRPr="00607C47">
        <w:rPr>
          <w:szCs w:val="22"/>
        </w:rPr>
        <w:t>le</w:t>
      </w:r>
      <w:r w:rsidR="00092A42" w:rsidRPr="00607C47">
        <w:rPr>
          <w:szCs w:val="22"/>
        </w:rPr>
        <w:t>,</w:t>
      </w:r>
      <w:r w:rsidR="002D5894" w:rsidRPr="00607C47">
        <w:rPr>
          <w:szCs w:val="22"/>
        </w:rPr>
        <w:t xml:space="preserve"> </w:t>
      </w:r>
      <w:r w:rsidRPr="00607C47">
        <w:rPr>
          <w:szCs w:val="22"/>
        </w:rPr>
        <w:t xml:space="preserve">with arrangements </w:t>
      </w:r>
      <w:r w:rsidR="002D5894" w:rsidRPr="00607C47">
        <w:rPr>
          <w:szCs w:val="22"/>
        </w:rPr>
        <w:t xml:space="preserve">in place </w:t>
      </w:r>
      <w:r w:rsidRPr="00607C47">
        <w:rPr>
          <w:szCs w:val="22"/>
        </w:rPr>
        <w:t>to manage successful delivery.</w:t>
      </w:r>
      <w:r w:rsidR="005539B5" w:rsidRPr="00607C47">
        <w:rPr>
          <w:szCs w:val="22"/>
        </w:rPr>
        <w:t xml:space="preserve"> </w:t>
      </w:r>
      <w:r w:rsidR="00B62BD7" w:rsidRPr="00607C47">
        <w:rPr>
          <w:szCs w:val="22"/>
        </w:rPr>
        <w:t xml:space="preserve"> </w:t>
      </w:r>
    </w:p>
    <w:p w14:paraId="59F5863F" w14:textId="77777777" w:rsidR="00D94910" w:rsidRPr="00607C47" w:rsidRDefault="00723338" w:rsidP="003D5AF3">
      <w:pPr>
        <w:spacing w:line="260" w:lineRule="atLeast"/>
        <w:rPr>
          <w:szCs w:val="22"/>
          <w:highlight w:val="yellow"/>
        </w:rPr>
      </w:pPr>
      <w:r w:rsidRPr="00607C47">
        <w:rPr>
          <w:szCs w:val="22"/>
        </w:rPr>
        <w:t>The delivery method to be used is</w:t>
      </w:r>
      <w:r w:rsidR="00D94910" w:rsidRPr="00607C47">
        <w:rPr>
          <w:szCs w:val="22"/>
        </w:rPr>
        <w:t xml:space="preserve"> </w:t>
      </w:r>
      <w:r w:rsidR="00D94910" w:rsidRPr="00607C47">
        <w:rPr>
          <w:i/>
          <w:color w:val="0033CC"/>
          <w:szCs w:val="22"/>
        </w:rPr>
        <w:t>name/describe</w:t>
      </w:r>
      <w:r w:rsidR="00D94910" w:rsidRPr="00607C47">
        <w:rPr>
          <w:szCs w:val="22"/>
        </w:rPr>
        <w:t xml:space="preserve">.  </w:t>
      </w:r>
      <w:r w:rsidR="005539B5" w:rsidRPr="00607C47">
        <w:rPr>
          <w:szCs w:val="22"/>
        </w:rPr>
        <w:t xml:space="preserve">The organisation’s experience with </w:t>
      </w:r>
      <w:r w:rsidR="00D94910" w:rsidRPr="00607C47">
        <w:rPr>
          <w:szCs w:val="22"/>
        </w:rPr>
        <w:t xml:space="preserve">this method and </w:t>
      </w:r>
      <w:r w:rsidR="005539B5" w:rsidRPr="00607C47">
        <w:rPr>
          <w:szCs w:val="22"/>
        </w:rPr>
        <w:t>similar investments is</w:t>
      </w:r>
      <w:r w:rsidR="00264788" w:rsidRPr="00607C47">
        <w:rPr>
          <w:szCs w:val="22"/>
        </w:rPr>
        <w:t xml:space="preserve"> </w:t>
      </w:r>
      <w:r w:rsidR="00D94910" w:rsidRPr="00607C47">
        <w:rPr>
          <w:i/>
          <w:color w:val="0033CC"/>
          <w:szCs w:val="22"/>
        </w:rPr>
        <w:t>describe.</w:t>
      </w:r>
      <w:r w:rsidR="00D94910" w:rsidRPr="00607C47" w:rsidDel="00D94910">
        <w:rPr>
          <w:szCs w:val="22"/>
          <w:highlight w:val="yellow"/>
        </w:rPr>
        <w:t xml:space="preserve"> </w:t>
      </w:r>
    </w:p>
    <w:p w14:paraId="3B2BFA99" w14:textId="6AADE9C2" w:rsidR="001442F9" w:rsidRPr="00607C47" w:rsidRDefault="00092847" w:rsidP="00414BEF">
      <w:pPr>
        <w:keepNext/>
        <w:keepLines/>
        <w:spacing w:line="260" w:lineRule="atLeast"/>
        <w:rPr>
          <w:i/>
          <w:color w:val="0033CC"/>
          <w:szCs w:val="22"/>
        </w:rPr>
      </w:pPr>
      <w:r w:rsidRPr="00607C47">
        <w:rPr>
          <w:szCs w:val="22"/>
        </w:rPr>
        <w:lastRenderedPageBreak/>
        <w:t xml:space="preserve">The </w:t>
      </w:r>
      <w:r w:rsidR="007526DF" w:rsidRPr="00607C47">
        <w:rPr>
          <w:szCs w:val="22"/>
        </w:rPr>
        <w:t xml:space="preserve">project </w:t>
      </w:r>
      <w:r w:rsidR="001442F9" w:rsidRPr="00607C47">
        <w:rPr>
          <w:szCs w:val="22"/>
        </w:rPr>
        <w:t xml:space="preserve">management arrangements </w:t>
      </w:r>
      <w:r w:rsidR="00D969DF" w:rsidRPr="00607C47">
        <w:rPr>
          <w:szCs w:val="22"/>
        </w:rPr>
        <w:t xml:space="preserve">to be used </w:t>
      </w:r>
      <w:r w:rsidR="001442F9" w:rsidRPr="00607C47">
        <w:rPr>
          <w:szCs w:val="22"/>
        </w:rPr>
        <w:t xml:space="preserve">are </w:t>
      </w:r>
      <w:r w:rsidR="00D94910" w:rsidRPr="00607C47">
        <w:rPr>
          <w:szCs w:val="22"/>
        </w:rPr>
        <w:t xml:space="preserve">fully documented in a Project Management Plan </w:t>
      </w:r>
      <w:r w:rsidR="00D94910" w:rsidRPr="00607C47">
        <w:rPr>
          <w:i/>
          <w:color w:val="0033CC"/>
          <w:szCs w:val="22"/>
        </w:rPr>
        <w:t>(or equivalent</w:t>
      </w:r>
      <w:r w:rsidR="00A41A07" w:rsidRPr="00607C47">
        <w:rPr>
          <w:i/>
          <w:color w:val="0033CC"/>
          <w:szCs w:val="22"/>
        </w:rPr>
        <w:t xml:space="preserve"> (name)</w:t>
      </w:r>
      <w:r w:rsidR="00D94910" w:rsidRPr="00607C47">
        <w:rPr>
          <w:i/>
          <w:color w:val="0033CC"/>
          <w:szCs w:val="22"/>
        </w:rPr>
        <w:t xml:space="preserve">).  </w:t>
      </w:r>
      <w:r w:rsidR="00D94910" w:rsidRPr="00607C47">
        <w:rPr>
          <w:color w:val="000000"/>
          <w:szCs w:val="22"/>
        </w:rPr>
        <w:t xml:space="preserve">This includes an appropriate governance </w:t>
      </w:r>
      <w:r w:rsidR="00D94910" w:rsidRPr="00607C47">
        <w:rPr>
          <w:color w:val="0033CC"/>
          <w:szCs w:val="22"/>
        </w:rPr>
        <w:t>structure</w:t>
      </w:r>
      <w:r w:rsidR="00D94910" w:rsidRPr="00607C47">
        <w:rPr>
          <w:i/>
          <w:color w:val="0033CC"/>
          <w:szCs w:val="22"/>
        </w:rPr>
        <w:t xml:space="preserve"> (insert diagram of </w:t>
      </w:r>
      <w:r w:rsidR="00885F89" w:rsidRPr="00607C47">
        <w:rPr>
          <w:i/>
          <w:color w:val="0033CC"/>
          <w:szCs w:val="22"/>
          <w:u w:val="single"/>
        </w:rPr>
        <w:t>high-level</w:t>
      </w:r>
      <w:r w:rsidR="00885F89" w:rsidRPr="00607C47">
        <w:rPr>
          <w:i/>
          <w:color w:val="0033CC"/>
          <w:szCs w:val="22"/>
        </w:rPr>
        <w:t xml:space="preserve"> </w:t>
      </w:r>
      <w:r w:rsidR="00D94910" w:rsidRPr="00607C47">
        <w:rPr>
          <w:i/>
          <w:color w:val="0033CC"/>
          <w:szCs w:val="22"/>
        </w:rPr>
        <w:t>governance structure</w:t>
      </w:r>
      <w:r w:rsidR="00885F89" w:rsidRPr="00607C47">
        <w:rPr>
          <w:i/>
          <w:color w:val="0033CC"/>
          <w:szCs w:val="22"/>
        </w:rPr>
        <w:t xml:space="preserve"> showing CE, ELT, SRO, Project Board, Project </w:t>
      </w:r>
      <w:proofErr w:type="gramStart"/>
      <w:r w:rsidR="00885F89" w:rsidRPr="00607C47">
        <w:rPr>
          <w:i/>
          <w:color w:val="0033CC"/>
          <w:szCs w:val="22"/>
        </w:rPr>
        <w:t>Director  or</w:t>
      </w:r>
      <w:proofErr w:type="gramEnd"/>
      <w:r w:rsidR="00885F89" w:rsidRPr="00607C47">
        <w:rPr>
          <w:i/>
          <w:color w:val="0033CC"/>
          <w:szCs w:val="22"/>
        </w:rPr>
        <w:t xml:space="preserve"> equivalent, reporting lines</w:t>
      </w:r>
      <w:r w:rsidR="00D94910" w:rsidRPr="00607C47">
        <w:rPr>
          <w:i/>
          <w:color w:val="0033CC"/>
          <w:szCs w:val="22"/>
        </w:rPr>
        <w:t>).</w:t>
      </w:r>
    </w:p>
    <w:p w14:paraId="2139A603" w14:textId="11492716" w:rsidR="00D94910" w:rsidRPr="00EC0F52" w:rsidRDefault="00D94910" w:rsidP="003D5AF3">
      <w:pPr>
        <w:pStyle w:val="TableHeading1"/>
        <w:spacing w:line="260" w:lineRule="atLeast"/>
      </w:pPr>
      <w:r>
        <w:t xml:space="preserve">Figure </w:t>
      </w:r>
      <w:r w:rsidRPr="00D94910">
        <w:rPr>
          <w:highlight w:val="yellow"/>
        </w:rPr>
        <w:t>X</w:t>
      </w:r>
      <w:r w:rsidRPr="00EC0F52">
        <w:t xml:space="preserve">: </w:t>
      </w:r>
      <w:r w:rsidR="002C4408">
        <w:rPr>
          <w:b w:val="0"/>
        </w:rPr>
        <w:t>G</w:t>
      </w:r>
      <w:r>
        <w:rPr>
          <w:b w:val="0"/>
        </w:rPr>
        <w:t>overnance structure</w:t>
      </w:r>
    </w:p>
    <w:tbl>
      <w:tblPr>
        <w:tblpPr w:leftFromText="180" w:rightFromText="180" w:vertAnchor="text" w:tblpX="52"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tblGrid>
      <w:tr w:rsidR="006C5E72" w14:paraId="641C3C4D" w14:textId="77777777" w:rsidTr="00414BEF">
        <w:trPr>
          <w:trHeight w:val="670"/>
        </w:trPr>
        <w:tc>
          <w:tcPr>
            <w:tcW w:w="1697" w:type="dxa"/>
          </w:tcPr>
          <w:p w14:paraId="3BA2802E" w14:textId="77777777" w:rsidR="006C5E72" w:rsidRDefault="006C5E72" w:rsidP="00414BEF">
            <w:pPr>
              <w:spacing w:line="260" w:lineRule="atLeast"/>
              <w:rPr>
                <w:i/>
                <w:color w:val="0033CC"/>
              </w:rPr>
            </w:pPr>
          </w:p>
        </w:tc>
      </w:tr>
    </w:tbl>
    <w:p w14:paraId="2A423CC7" w14:textId="77777777" w:rsidR="00D94910" w:rsidRPr="00D94910" w:rsidRDefault="00D94910" w:rsidP="003D5AF3">
      <w:pPr>
        <w:spacing w:line="260" w:lineRule="atLeast"/>
        <w:rPr>
          <w:i/>
          <w:color w:val="0033CC"/>
        </w:rPr>
      </w:pPr>
    </w:p>
    <w:p w14:paraId="4A2259DC" w14:textId="77777777" w:rsidR="006C5E72" w:rsidRDefault="006C5E72" w:rsidP="001442F9"/>
    <w:p w14:paraId="22DE3646" w14:textId="77777777" w:rsidR="006C5E72" w:rsidRDefault="006C5E72" w:rsidP="001442F9"/>
    <w:p w14:paraId="41D4DDBE" w14:textId="1FDBF97A" w:rsidR="007526DF" w:rsidRDefault="007526DF" w:rsidP="00885F89">
      <w:pPr>
        <w:spacing w:line="260" w:lineRule="atLeast"/>
      </w:pPr>
      <w:r>
        <w:t>The project</w:t>
      </w:r>
      <w:r w:rsidR="00760C40">
        <w:t xml:space="preserve"> key</w:t>
      </w:r>
      <w:r>
        <w:t xml:space="preserve"> milestones </w:t>
      </w:r>
      <w:r w:rsidR="00885F89">
        <w:t xml:space="preserve">and high-level timeline </w:t>
      </w:r>
      <w:r>
        <w:t>are</w:t>
      </w:r>
      <w:r w:rsidR="00637061">
        <w:t xml:space="preserve"> shown below</w:t>
      </w:r>
      <w:r w:rsidR="00014CB6">
        <w:t>.</w:t>
      </w:r>
    </w:p>
    <w:p w14:paraId="1E4B9259" w14:textId="77777777" w:rsidR="00D969DF" w:rsidRPr="00EC0F52" w:rsidRDefault="00D969DF" w:rsidP="00414BEF">
      <w:pPr>
        <w:pStyle w:val="TableHeading1"/>
        <w:spacing w:after="60" w:line="240" w:lineRule="auto"/>
      </w:pPr>
      <w:r w:rsidRPr="00EC0F52">
        <w:t xml:space="preserve">Table </w:t>
      </w:r>
      <w:r>
        <w:rPr>
          <w:shd w:val="clear" w:color="auto" w:fill="FFFF00"/>
        </w:rPr>
        <w:t>3</w:t>
      </w:r>
      <w:r w:rsidRPr="00EC0F52">
        <w:t xml:space="preserve">: </w:t>
      </w:r>
      <w:r w:rsidRPr="00637061">
        <w:rPr>
          <w:b w:val="0"/>
        </w:rPr>
        <w:t>Key project milestones</w:t>
      </w:r>
    </w:p>
    <w:tbl>
      <w:tblPr>
        <w:tblW w:w="0" w:type="auto"/>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6350"/>
        <w:gridCol w:w="2835"/>
      </w:tblGrid>
      <w:tr w:rsidR="00D969DF" w:rsidRPr="004C1278" w14:paraId="2FB7252B" w14:textId="77777777" w:rsidTr="00414BEF">
        <w:tc>
          <w:tcPr>
            <w:tcW w:w="6350" w:type="dxa"/>
            <w:shd w:val="clear" w:color="auto" w:fill="DEEAF5"/>
            <w:vAlign w:val="bottom"/>
          </w:tcPr>
          <w:p w14:paraId="543A2F61" w14:textId="77777777" w:rsidR="00D969DF" w:rsidRPr="009911C3" w:rsidRDefault="00D969DF" w:rsidP="000E39FB">
            <w:pPr>
              <w:pStyle w:val="TableHeading"/>
              <w:spacing w:before="40" w:line="240" w:lineRule="exact"/>
            </w:pPr>
            <w:r>
              <w:t>Proposed key milestones</w:t>
            </w:r>
          </w:p>
        </w:tc>
        <w:tc>
          <w:tcPr>
            <w:tcW w:w="2835" w:type="dxa"/>
            <w:shd w:val="clear" w:color="auto" w:fill="DEEAF5"/>
            <w:vAlign w:val="bottom"/>
          </w:tcPr>
          <w:p w14:paraId="57388E47" w14:textId="77777777" w:rsidR="00D969DF" w:rsidRPr="009911C3" w:rsidRDefault="00D969DF" w:rsidP="00D969DF">
            <w:pPr>
              <w:pStyle w:val="TableHeading"/>
              <w:spacing w:before="40" w:line="240" w:lineRule="exact"/>
            </w:pPr>
            <w:r>
              <w:t>Estimated date</w:t>
            </w:r>
          </w:p>
        </w:tc>
      </w:tr>
      <w:tr w:rsidR="00D969DF" w:rsidRPr="00CC1667" w14:paraId="165E7D37" w14:textId="77777777" w:rsidTr="00414BEF">
        <w:tc>
          <w:tcPr>
            <w:tcW w:w="6350" w:type="dxa"/>
          </w:tcPr>
          <w:p w14:paraId="2019A143" w14:textId="1DF5D4DD" w:rsidR="00D969DF" w:rsidRPr="009911C3" w:rsidRDefault="00014CB6" w:rsidP="00EB6C92">
            <w:pPr>
              <w:pStyle w:val="TableText"/>
              <w:spacing w:before="40" w:line="240" w:lineRule="exact"/>
            </w:pPr>
            <w:r>
              <w:t xml:space="preserve">Implementation Business Case submitted to </w:t>
            </w:r>
            <w:r w:rsidRPr="00381117">
              <w:rPr>
                <w:highlight w:val="yellow"/>
              </w:rPr>
              <w:t>[Joint Ministers</w:t>
            </w:r>
            <w:r>
              <w:t>] for approval</w:t>
            </w:r>
          </w:p>
        </w:tc>
        <w:tc>
          <w:tcPr>
            <w:tcW w:w="2835" w:type="dxa"/>
          </w:tcPr>
          <w:p w14:paraId="124C5B7D" w14:textId="77777777" w:rsidR="00D969DF" w:rsidRPr="00B51A7E" w:rsidRDefault="00D969DF" w:rsidP="000E39FB">
            <w:pPr>
              <w:pStyle w:val="TableBullet"/>
              <w:numPr>
                <w:ilvl w:val="0"/>
                <w:numId w:val="0"/>
              </w:numPr>
              <w:spacing w:before="40" w:line="240" w:lineRule="exact"/>
              <w:ind w:left="360"/>
            </w:pPr>
          </w:p>
        </w:tc>
      </w:tr>
      <w:tr w:rsidR="00D969DF" w:rsidRPr="00CC1667" w14:paraId="60C93735" w14:textId="77777777" w:rsidTr="00414BEF">
        <w:tc>
          <w:tcPr>
            <w:tcW w:w="6350" w:type="dxa"/>
          </w:tcPr>
          <w:p w14:paraId="41F6604D" w14:textId="77777777" w:rsidR="00D969DF" w:rsidRPr="009911C3" w:rsidRDefault="00D969DF" w:rsidP="000E39FB">
            <w:pPr>
              <w:pStyle w:val="TableText"/>
              <w:spacing w:before="40" w:line="240" w:lineRule="exact"/>
            </w:pPr>
          </w:p>
        </w:tc>
        <w:tc>
          <w:tcPr>
            <w:tcW w:w="2835" w:type="dxa"/>
          </w:tcPr>
          <w:p w14:paraId="23D94217" w14:textId="77777777" w:rsidR="00D969DF" w:rsidRPr="00B51A7E" w:rsidRDefault="00D969DF" w:rsidP="000E39FB">
            <w:pPr>
              <w:pStyle w:val="TableBullet"/>
              <w:numPr>
                <w:ilvl w:val="0"/>
                <w:numId w:val="0"/>
              </w:numPr>
              <w:spacing w:before="40" w:line="240" w:lineRule="exact"/>
              <w:ind w:left="360"/>
            </w:pPr>
          </w:p>
        </w:tc>
      </w:tr>
      <w:tr w:rsidR="00D969DF" w:rsidRPr="00CC1667" w14:paraId="188A0207" w14:textId="77777777" w:rsidTr="00414BEF">
        <w:tc>
          <w:tcPr>
            <w:tcW w:w="6350" w:type="dxa"/>
          </w:tcPr>
          <w:p w14:paraId="2257D7B4" w14:textId="77777777" w:rsidR="00D969DF" w:rsidRPr="009911C3" w:rsidRDefault="00D969DF" w:rsidP="000E39FB">
            <w:pPr>
              <w:pStyle w:val="TableText"/>
              <w:spacing w:before="40" w:line="240" w:lineRule="exact"/>
            </w:pPr>
          </w:p>
        </w:tc>
        <w:tc>
          <w:tcPr>
            <w:tcW w:w="2835" w:type="dxa"/>
          </w:tcPr>
          <w:p w14:paraId="1EFADA00" w14:textId="77777777" w:rsidR="00D969DF" w:rsidRPr="00B51A7E" w:rsidRDefault="00D969DF" w:rsidP="000E39FB">
            <w:pPr>
              <w:pStyle w:val="TableBullet"/>
              <w:numPr>
                <w:ilvl w:val="0"/>
                <w:numId w:val="0"/>
              </w:numPr>
              <w:spacing w:before="40" w:line="240" w:lineRule="exact"/>
              <w:ind w:left="360"/>
            </w:pPr>
          </w:p>
        </w:tc>
      </w:tr>
      <w:tr w:rsidR="00D969DF" w:rsidRPr="00CC1667" w14:paraId="5047643D" w14:textId="77777777" w:rsidTr="00414BEF">
        <w:tc>
          <w:tcPr>
            <w:tcW w:w="6350" w:type="dxa"/>
          </w:tcPr>
          <w:p w14:paraId="017C79B9" w14:textId="77777777" w:rsidR="00D969DF" w:rsidRPr="009911C3" w:rsidRDefault="00D969DF" w:rsidP="000E39FB">
            <w:pPr>
              <w:pStyle w:val="TableText"/>
              <w:spacing w:before="40" w:line="240" w:lineRule="exact"/>
            </w:pPr>
          </w:p>
        </w:tc>
        <w:tc>
          <w:tcPr>
            <w:tcW w:w="2835" w:type="dxa"/>
          </w:tcPr>
          <w:p w14:paraId="1F566402" w14:textId="77777777" w:rsidR="00D969DF" w:rsidRPr="00B51A7E" w:rsidRDefault="00D969DF" w:rsidP="000E39FB">
            <w:pPr>
              <w:pStyle w:val="TableBullet"/>
              <w:numPr>
                <w:ilvl w:val="0"/>
                <w:numId w:val="0"/>
              </w:numPr>
              <w:spacing w:before="40" w:line="240" w:lineRule="exact"/>
              <w:ind w:left="360"/>
            </w:pPr>
          </w:p>
        </w:tc>
      </w:tr>
    </w:tbl>
    <w:p w14:paraId="5DDD5063" w14:textId="77777777" w:rsidR="00D969DF" w:rsidRDefault="00D969DF" w:rsidP="00414BEF">
      <w:pPr>
        <w:pStyle w:val="NoSpacing"/>
        <w:rPr>
          <w:rStyle w:val="Emphasis"/>
          <w:i w:val="0"/>
        </w:rPr>
      </w:pPr>
    </w:p>
    <w:p w14:paraId="0E61CE6B" w14:textId="68856430" w:rsidR="006C5E72" w:rsidRPr="00381117" w:rsidRDefault="006C5E72" w:rsidP="00607C47">
      <w:pPr>
        <w:spacing w:line="260" w:lineRule="atLeast"/>
      </w:pPr>
      <w:r w:rsidRPr="00381117">
        <w:t xml:space="preserve">Plans </w:t>
      </w:r>
      <w:r>
        <w:t xml:space="preserve">and processes are documented and </w:t>
      </w:r>
      <w:r w:rsidR="006F0D20">
        <w:t>will be followed</w:t>
      </w:r>
      <w:r w:rsidRPr="00381117">
        <w:t xml:space="preserve"> for the management of:</w:t>
      </w:r>
    </w:p>
    <w:p w14:paraId="59389A4A" w14:textId="77777777" w:rsidR="006C5E72" w:rsidRPr="00381117" w:rsidRDefault="006C5E72" w:rsidP="00607C47">
      <w:pPr>
        <w:pStyle w:val="Bullet-list"/>
      </w:pPr>
      <w:r w:rsidRPr="00381117">
        <w:t>C</w:t>
      </w:r>
      <w:r w:rsidR="001442F9" w:rsidRPr="006C5E72">
        <w:t>hange</w:t>
      </w:r>
    </w:p>
    <w:p w14:paraId="6B83E44B" w14:textId="77777777" w:rsidR="006C5E72" w:rsidRPr="00381117" w:rsidRDefault="006C5E72" w:rsidP="00607C47">
      <w:pPr>
        <w:pStyle w:val="Bullet-list"/>
      </w:pPr>
      <w:r w:rsidRPr="00381117">
        <w:t>B</w:t>
      </w:r>
      <w:r w:rsidR="00264788" w:rsidRPr="006C5E72">
        <w:t>enefits</w:t>
      </w:r>
    </w:p>
    <w:p w14:paraId="3DDA022A" w14:textId="77777777" w:rsidR="006C5E72" w:rsidRPr="00381117" w:rsidRDefault="006C5E72" w:rsidP="00607C47">
      <w:pPr>
        <w:pStyle w:val="Bullet-list"/>
      </w:pPr>
      <w:r w:rsidRPr="00381117">
        <w:t>Contracts a</w:t>
      </w:r>
      <w:r w:rsidR="00264788" w:rsidRPr="006C5E72">
        <w:t>nd services</w:t>
      </w:r>
      <w:r w:rsidR="00D969DF" w:rsidRPr="006C5E72">
        <w:t xml:space="preserve"> </w:t>
      </w:r>
    </w:p>
    <w:p w14:paraId="6F91D4E7" w14:textId="56A522B9" w:rsidR="00264788" w:rsidRPr="006C5E72" w:rsidRDefault="006C5E72" w:rsidP="00607C47">
      <w:pPr>
        <w:pStyle w:val="Bullet-list"/>
      </w:pPr>
      <w:r w:rsidRPr="00381117">
        <w:t>Risks, Issues and Dependencies</w:t>
      </w:r>
      <w:r w:rsidR="00AD21B1">
        <w:t>.</w:t>
      </w:r>
    </w:p>
    <w:p w14:paraId="6D84EFDB" w14:textId="77777777" w:rsidR="00885F89" w:rsidRDefault="00885F89" w:rsidP="002C4408">
      <w:pPr>
        <w:pStyle w:val="Heading4"/>
        <w:spacing w:after="180"/>
      </w:pPr>
      <w:r>
        <w:t>Assurance and evaluation</w:t>
      </w:r>
    </w:p>
    <w:p w14:paraId="48A1A558" w14:textId="732A0768" w:rsidR="001442F9" w:rsidRPr="00607C47" w:rsidRDefault="003D6FF0" w:rsidP="003D5AF3">
      <w:pPr>
        <w:spacing w:line="260" w:lineRule="atLeast"/>
        <w:rPr>
          <w:szCs w:val="22"/>
        </w:rPr>
      </w:pPr>
      <w:r w:rsidRPr="00607C47">
        <w:rPr>
          <w:szCs w:val="22"/>
        </w:rPr>
        <w:t xml:space="preserve">Independent </w:t>
      </w:r>
      <w:r w:rsidRPr="00607C47">
        <w:rPr>
          <w:szCs w:val="22"/>
          <w:highlight w:val="yellow"/>
        </w:rPr>
        <w:t>(and Technical</w:t>
      </w:r>
      <w:r w:rsidR="006F0D20" w:rsidRPr="00607C47">
        <w:rPr>
          <w:szCs w:val="22"/>
        </w:rPr>
        <w:t>)</w:t>
      </w:r>
      <w:r w:rsidRPr="00607C47">
        <w:rPr>
          <w:szCs w:val="22"/>
        </w:rPr>
        <w:t xml:space="preserve"> Quality Assurance </w:t>
      </w:r>
      <w:r w:rsidR="001442F9" w:rsidRPr="00607C47">
        <w:rPr>
          <w:szCs w:val="22"/>
        </w:rPr>
        <w:t>reviews are planned</w:t>
      </w:r>
      <w:r w:rsidR="00834A9C" w:rsidRPr="00607C47">
        <w:rPr>
          <w:szCs w:val="22"/>
        </w:rPr>
        <w:t xml:space="preserve"> </w:t>
      </w:r>
      <w:r w:rsidR="00834A9C" w:rsidRPr="00607C47">
        <w:rPr>
          <w:szCs w:val="22"/>
          <w:highlight w:val="yellow"/>
        </w:rPr>
        <w:t xml:space="preserve">to </w:t>
      </w:r>
      <w:r w:rsidR="00381117" w:rsidRPr="00607C47">
        <w:rPr>
          <w:szCs w:val="22"/>
          <w:highlight w:val="yellow"/>
        </w:rPr>
        <w:t>ensure that technical planning and deliverables are appropriate, robust and effective.</w:t>
      </w:r>
      <w:r w:rsidR="00381117" w:rsidRPr="00607C47">
        <w:rPr>
          <w:szCs w:val="22"/>
        </w:rPr>
        <w:t xml:space="preserve">  </w:t>
      </w:r>
      <w:r w:rsidR="00834A9C" w:rsidRPr="00607C47">
        <w:rPr>
          <w:szCs w:val="22"/>
        </w:rPr>
        <w:t>These will occur</w:t>
      </w:r>
      <w:r w:rsidR="001442F9" w:rsidRPr="00607C47">
        <w:rPr>
          <w:szCs w:val="22"/>
        </w:rPr>
        <w:t xml:space="preserve"> at </w:t>
      </w:r>
      <w:r w:rsidR="00D94910" w:rsidRPr="00607C47">
        <w:rPr>
          <w:szCs w:val="22"/>
        </w:rPr>
        <w:t xml:space="preserve">agreed critical points starting </w:t>
      </w:r>
      <w:r w:rsidR="001442F9" w:rsidRPr="00607C47">
        <w:rPr>
          <w:szCs w:val="22"/>
          <w:highlight w:val="yellow"/>
        </w:rPr>
        <w:t xml:space="preserve">[mmm </w:t>
      </w:r>
      <w:r w:rsidR="0003530F" w:rsidRPr="00607C47">
        <w:rPr>
          <w:szCs w:val="22"/>
          <w:highlight w:val="yellow"/>
        </w:rPr>
        <w:t>20YY</w:t>
      </w:r>
      <w:r w:rsidR="001442F9" w:rsidRPr="00607C47">
        <w:rPr>
          <w:szCs w:val="22"/>
          <w:highlight w:val="yellow"/>
        </w:rPr>
        <w:t>]</w:t>
      </w:r>
      <w:r w:rsidR="001442F9" w:rsidRPr="00607C47">
        <w:rPr>
          <w:szCs w:val="22"/>
        </w:rPr>
        <w:t xml:space="preserve"> </w:t>
      </w:r>
    </w:p>
    <w:p w14:paraId="0F23F3F9" w14:textId="2E6B1D17" w:rsidR="00816460" w:rsidRPr="00607C47" w:rsidRDefault="00816460" w:rsidP="003D5AF3">
      <w:pPr>
        <w:spacing w:line="260" w:lineRule="atLeast"/>
        <w:rPr>
          <w:rStyle w:val="Emphasis"/>
          <w:i w:val="0"/>
          <w:sz w:val="22"/>
          <w:szCs w:val="22"/>
        </w:rPr>
      </w:pPr>
      <w:bookmarkStart w:id="62" w:name="_Toc25746761"/>
      <w:bookmarkStart w:id="63" w:name="_Toc31266887"/>
      <w:r w:rsidRPr="00607C47">
        <w:rPr>
          <w:rStyle w:val="Emphasis"/>
          <w:i w:val="0"/>
          <w:sz w:val="22"/>
          <w:szCs w:val="22"/>
        </w:rPr>
        <w:t>A post</w:t>
      </w:r>
      <w:r w:rsidR="006F0D20" w:rsidRPr="00607C47">
        <w:rPr>
          <w:rStyle w:val="Emphasis"/>
          <w:i w:val="0"/>
          <w:sz w:val="22"/>
          <w:szCs w:val="22"/>
        </w:rPr>
        <w:t>-</w:t>
      </w:r>
      <w:r w:rsidRPr="00607C47">
        <w:rPr>
          <w:rStyle w:val="Emphasis"/>
          <w:i w:val="0"/>
          <w:sz w:val="22"/>
          <w:szCs w:val="22"/>
        </w:rPr>
        <w:t xml:space="preserve">implementation review is planned in </w:t>
      </w:r>
      <w:r w:rsidRPr="00607C47">
        <w:rPr>
          <w:rStyle w:val="Emphasis"/>
          <w:i w:val="0"/>
          <w:sz w:val="22"/>
          <w:szCs w:val="22"/>
          <w:highlight w:val="yellow"/>
        </w:rPr>
        <w:t xml:space="preserve">[mmm </w:t>
      </w:r>
      <w:r w:rsidR="0003530F" w:rsidRPr="00607C47">
        <w:rPr>
          <w:rStyle w:val="Emphasis"/>
          <w:i w:val="0"/>
          <w:sz w:val="22"/>
          <w:szCs w:val="22"/>
          <w:highlight w:val="yellow"/>
        </w:rPr>
        <w:t>20YY</w:t>
      </w:r>
      <w:r w:rsidRPr="00607C47">
        <w:rPr>
          <w:rStyle w:val="Emphasis"/>
          <w:i w:val="0"/>
          <w:sz w:val="22"/>
          <w:szCs w:val="22"/>
          <w:highlight w:val="yellow"/>
        </w:rPr>
        <w:t>]</w:t>
      </w:r>
      <w:r w:rsidRPr="00607C47">
        <w:rPr>
          <w:rStyle w:val="Emphasis"/>
          <w:i w:val="0"/>
          <w:sz w:val="22"/>
          <w:szCs w:val="22"/>
        </w:rPr>
        <w:t xml:space="preserve"> to confirm that the new system/facilities are operating as intended and delivering the services proposed in the business case, and to identify any lessons learned from the management of the project/tranche that can be applied to future projects or projects in other agencies.</w:t>
      </w:r>
    </w:p>
    <w:p w14:paraId="71536275" w14:textId="77777777" w:rsidR="00816460" w:rsidRPr="00607C47" w:rsidRDefault="00816460" w:rsidP="003D5AF3">
      <w:pPr>
        <w:spacing w:line="260" w:lineRule="atLeast"/>
        <w:rPr>
          <w:rStyle w:val="Emphasis"/>
          <w:i w:val="0"/>
          <w:sz w:val="22"/>
          <w:szCs w:val="22"/>
        </w:rPr>
      </w:pPr>
      <w:r w:rsidRPr="00607C47">
        <w:rPr>
          <w:rStyle w:val="Emphasis"/>
          <w:i w:val="0"/>
          <w:sz w:val="22"/>
          <w:szCs w:val="22"/>
        </w:rPr>
        <w:t xml:space="preserve">As required by Cabinet Office </w:t>
      </w:r>
      <w:r w:rsidRPr="00993F59">
        <w:rPr>
          <w:rStyle w:val="Emphasis"/>
          <w:i w:val="0"/>
          <w:sz w:val="22"/>
          <w:szCs w:val="22"/>
        </w:rPr>
        <w:t>Circular CO(19)6</w:t>
      </w:r>
      <w:r w:rsidRPr="00993F59">
        <w:rPr>
          <w:rStyle w:val="FootnoteReference"/>
          <w:iCs/>
          <w:color w:val="1F4E79"/>
          <w:sz w:val="22"/>
          <w:szCs w:val="22"/>
          <w:vertAlign w:val="superscript"/>
        </w:rPr>
        <w:footnoteReference w:id="3"/>
      </w:r>
      <w:r w:rsidRPr="00993F59">
        <w:rPr>
          <w:rStyle w:val="Emphasis"/>
          <w:i w:val="0"/>
          <w:sz w:val="22"/>
          <w:szCs w:val="22"/>
        </w:rPr>
        <w:t xml:space="preserve">, this </w:t>
      </w:r>
      <w:r w:rsidRPr="00607C47">
        <w:rPr>
          <w:rStyle w:val="Emphasis"/>
          <w:i w:val="0"/>
          <w:sz w:val="22"/>
          <w:szCs w:val="22"/>
        </w:rPr>
        <w:t>project will report back to Cabinet within 12 months of the in-service date on the actual level of benefits achieved compared with those outlined in the Cabinet-approved investment.</w:t>
      </w:r>
    </w:p>
    <w:p w14:paraId="26F51BE4" w14:textId="77777777" w:rsidR="00816460" w:rsidRPr="00607C47" w:rsidRDefault="00816460" w:rsidP="003D5AF3">
      <w:pPr>
        <w:spacing w:line="260" w:lineRule="atLeast"/>
        <w:rPr>
          <w:rStyle w:val="Emphasis"/>
          <w:i w:val="0"/>
          <w:sz w:val="22"/>
          <w:szCs w:val="22"/>
        </w:rPr>
      </w:pPr>
      <w:r w:rsidRPr="00607C47">
        <w:rPr>
          <w:rStyle w:val="Emphasis"/>
          <w:i w:val="0"/>
          <w:sz w:val="22"/>
          <w:szCs w:val="22"/>
        </w:rPr>
        <w:t xml:space="preserve">A Treasury </w:t>
      </w:r>
      <w:r w:rsidRPr="00607C47">
        <w:rPr>
          <w:rStyle w:val="Emphasis"/>
          <w:i w:val="0"/>
          <w:sz w:val="22"/>
          <w:szCs w:val="22"/>
          <w:u w:val="single"/>
        </w:rPr>
        <w:t>Operations and Benefits Realisation Review</w:t>
      </w:r>
      <w:r w:rsidRPr="00607C47">
        <w:rPr>
          <w:rStyle w:val="Emphasis"/>
          <w:i w:val="0"/>
          <w:sz w:val="22"/>
          <w:szCs w:val="22"/>
        </w:rPr>
        <w:t xml:space="preserve"> will be undertaken at agreed points; the initial review will be timed to inform the Benefits report-back to Cabinet. </w:t>
      </w:r>
    </w:p>
    <w:p w14:paraId="05E8EADC" w14:textId="77777777" w:rsidR="001442F9" w:rsidRPr="00D17BFC" w:rsidRDefault="001442F9" w:rsidP="006E4FDB">
      <w:pPr>
        <w:pStyle w:val="Heading2"/>
      </w:pPr>
      <w:r w:rsidRPr="00D17BFC">
        <w:lastRenderedPageBreak/>
        <w:t>Next Steps</w:t>
      </w:r>
      <w:bookmarkEnd w:id="62"/>
      <w:bookmarkEnd w:id="63"/>
    </w:p>
    <w:p w14:paraId="529687F8" w14:textId="77777777" w:rsidR="00885F89" w:rsidRPr="00607C47" w:rsidRDefault="00885F89" w:rsidP="00414BEF">
      <w:pPr>
        <w:keepNext/>
        <w:keepLines/>
        <w:spacing w:line="260" w:lineRule="atLeast"/>
        <w:rPr>
          <w:szCs w:val="22"/>
        </w:rPr>
      </w:pPr>
      <w:r w:rsidRPr="00607C47">
        <w:rPr>
          <w:szCs w:val="22"/>
        </w:rPr>
        <w:t xml:space="preserve">This approval decision will be formally recorded in </w:t>
      </w:r>
      <w:r w:rsidRPr="00607C47">
        <w:rPr>
          <w:szCs w:val="22"/>
          <w:highlight w:val="yellow"/>
        </w:rPr>
        <w:t>[name of formal record].</w:t>
      </w:r>
    </w:p>
    <w:p w14:paraId="1B7CE69E" w14:textId="7E4B839E" w:rsidR="00CE6D38" w:rsidRPr="00607C47" w:rsidRDefault="009D7B41" w:rsidP="00414BEF">
      <w:pPr>
        <w:keepNext/>
        <w:keepLines/>
        <w:spacing w:line="260" w:lineRule="atLeast"/>
        <w:rPr>
          <w:szCs w:val="22"/>
        </w:rPr>
      </w:pPr>
      <w:r w:rsidRPr="00607C47">
        <w:rPr>
          <w:szCs w:val="22"/>
        </w:rPr>
        <w:t xml:space="preserve">Following approval of this business case, the </w:t>
      </w:r>
      <w:r w:rsidR="00885F89" w:rsidRPr="00607C47">
        <w:rPr>
          <w:szCs w:val="22"/>
          <w:highlight w:val="yellow"/>
        </w:rPr>
        <w:t>CE</w:t>
      </w:r>
      <w:r w:rsidR="002C4408" w:rsidRPr="00607C47">
        <w:rPr>
          <w:szCs w:val="22"/>
          <w:highlight w:val="yellow"/>
        </w:rPr>
        <w:t>/</w:t>
      </w:r>
      <w:r w:rsidR="00EB6C92" w:rsidRPr="00607C47">
        <w:rPr>
          <w:szCs w:val="22"/>
          <w:highlight w:val="yellow"/>
        </w:rPr>
        <w:t>SRO</w:t>
      </w:r>
      <w:r w:rsidRPr="00607C47">
        <w:rPr>
          <w:szCs w:val="22"/>
        </w:rPr>
        <w:t xml:space="preserve"> will </w:t>
      </w:r>
      <w:r w:rsidR="006C5E72" w:rsidRPr="00607C47">
        <w:rPr>
          <w:szCs w:val="22"/>
          <w:highlight w:val="yellow"/>
        </w:rPr>
        <w:t>(</w:t>
      </w:r>
      <w:r w:rsidRPr="00607C47">
        <w:rPr>
          <w:szCs w:val="22"/>
          <w:highlight w:val="yellow"/>
        </w:rPr>
        <w:t xml:space="preserve">direct </w:t>
      </w:r>
      <w:r w:rsidR="005539B5" w:rsidRPr="00607C47">
        <w:rPr>
          <w:szCs w:val="22"/>
          <w:highlight w:val="yellow"/>
        </w:rPr>
        <w:t xml:space="preserve">the </w:t>
      </w:r>
      <w:r w:rsidR="00885F89" w:rsidRPr="00607C47">
        <w:rPr>
          <w:szCs w:val="22"/>
          <w:highlight w:val="yellow"/>
        </w:rPr>
        <w:t xml:space="preserve">SRO and </w:t>
      </w:r>
      <w:r w:rsidR="00B62BD7" w:rsidRPr="00607C47">
        <w:rPr>
          <w:szCs w:val="22"/>
          <w:highlight w:val="yellow"/>
        </w:rPr>
        <w:t>Project/Tranche/</w:t>
      </w:r>
      <w:r w:rsidR="00816460" w:rsidRPr="00607C47">
        <w:rPr>
          <w:szCs w:val="22"/>
          <w:highlight w:val="yellow"/>
        </w:rPr>
        <w:t xml:space="preserve"> </w:t>
      </w:r>
      <w:r w:rsidR="00B62BD7" w:rsidRPr="00607C47">
        <w:rPr>
          <w:szCs w:val="22"/>
          <w:highlight w:val="yellow"/>
        </w:rPr>
        <w:t xml:space="preserve">Programme </w:t>
      </w:r>
      <w:r w:rsidR="00885F89" w:rsidRPr="00607C47">
        <w:rPr>
          <w:szCs w:val="22"/>
          <w:highlight w:val="yellow"/>
        </w:rPr>
        <w:t>Director/</w:t>
      </w:r>
      <w:r w:rsidR="00B62BD7" w:rsidRPr="00607C47">
        <w:rPr>
          <w:szCs w:val="22"/>
          <w:highlight w:val="yellow"/>
        </w:rPr>
        <w:t>Manager</w:t>
      </w:r>
      <w:r w:rsidR="00CE6D38" w:rsidRPr="00607C47">
        <w:rPr>
          <w:szCs w:val="22"/>
          <w:highlight w:val="yellow"/>
        </w:rPr>
        <w:t>)</w:t>
      </w:r>
      <w:r w:rsidR="00B62BD7" w:rsidRPr="00607C47">
        <w:rPr>
          <w:szCs w:val="22"/>
        </w:rPr>
        <w:t xml:space="preserve"> </w:t>
      </w:r>
      <w:r w:rsidR="005539B5" w:rsidRPr="00607C47">
        <w:rPr>
          <w:szCs w:val="22"/>
        </w:rPr>
        <w:t>to</w:t>
      </w:r>
      <w:r w:rsidR="00CE6D38" w:rsidRPr="00607C47">
        <w:rPr>
          <w:szCs w:val="22"/>
        </w:rPr>
        <w:t>:</w:t>
      </w:r>
      <w:r w:rsidR="00885F89" w:rsidRPr="00607C47">
        <w:rPr>
          <w:szCs w:val="22"/>
        </w:rPr>
        <w:t xml:space="preserve"> </w:t>
      </w:r>
    </w:p>
    <w:p w14:paraId="6F1EED50" w14:textId="26219680" w:rsidR="00607C47" w:rsidRPr="00607C47" w:rsidRDefault="00CE6D38" w:rsidP="00414BEF">
      <w:pPr>
        <w:pStyle w:val="ListParagraph"/>
        <w:keepNext/>
        <w:keepLines/>
        <w:numPr>
          <w:ilvl w:val="0"/>
          <w:numId w:val="47"/>
        </w:numPr>
        <w:spacing w:line="260" w:lineRule="atLeast"/>
        <w:ind w:left="425" w:hanging="425"/>
        <w:rPr>
          <w:i/>
          <w:iCs/>
          <w:szCs w:val="22"/>
        </w:rPr>
      </w:pPr>
      <w:r w:rsidRPr="00607C47">
        <w:rPr>
          <w:szCs w:val="22"/>
        </w:rPr>
        <w:t>F</w:t>
      </w:r>
      <w:r w:rsidR="005539B5" w:rsidRPr="00607C47">
        <w:rPr>
          <w:szCs w:val="22"/>
        </w:rPr>
        <w:t xml:space="preserve">inalise </w:t>
      </w:r>
      <w:r w:rsidR="006C5E72" w:rsidRPr="00607C47">
        <w:rPr>
          <w:szCs w:val="22"/>
        </w:rPr>
        <w:t xml:space="preserve">and sign </w:t>
      </w:r>
      <w:r w:rsidR="005539B5" w:rsidRPr="00607C47">
        <w:rPr>
          <w:szCs w:val="22"/>
        </w:rPr>
        <w:t>supplier contracts</w:t>
      </w:r>
      <w:r w:rsidR="00885F89" w:rsidRPr="00607C47">
        <w:rPr>
          <w:szCs w:val="22"/>
        </w:rPr>
        <w:t xml:space="preserve"> </w:t>
      </w:r>
      <w:r w:rsidR="00885F89" w:rsidRPr="00607C47">
        <w:rPr>
          <w:i/>
          <w:iCs/>
          <w:color w:val="0000FF"/>
          <w:szCs w:val="22"/>
        </w:rPr>
        <w:t>(not</w:t>
      </w:r>
      <w:r w:rsidR="00BF6322" w:rsidRPr="00607C47">
        <w:rPr>
          <w:i/>
          <w:iCs/>
          <w:color w:val="0000FF"/>
          <w:szCs w:val="22"/>
        </w:rPr>
        <w:t>e</w:t>
      </w:r>
      <w:r w:rsidR="00885F89" w:rsidRPr="00607C47">
        <w:rPr>
          <w:i/>
          <w:iCs/>
          <w:color w:val="0000FF"/>
          <w:szCs w:val="22"/>
        </w:rPr>
        <w:t xml:space="preserve"> that contractors can’t sign contracts on behalf of an agency)</w:t>
      </w:r>
      <w:r w:rsidR="00607C47" w:rsidRPr="00607C47">
        <w:rPr>
          <w:i/>
          <w:iCs/>
          <w:szCs w:val="22"/>
        </w:rPr>
        <w:t xml:space="preserve"> </w:t>
      </w:r>
    </w:p>
    <w:p w14:paraId="4236160C" w14:textId="39B30B7F" w:rsidR="00885F89" w:rsidRPr="00607C47" w:rsidRDefault="00885F89" w:rsidP="00414BEF">
      <w:pPr>
        <w:pStyle w:val="ListParagraph"/>
        <w:keepNext/>
        <w:keepLines/>
        <w:numPr>
          <w:ilvl w:val="0"/>
          <w:numId w:val="47"/>
        </w:numPr>
        <w:spacing w:line="260" w:lineRule="atLeast"/>
        <w:ind w:left="425" w:hanging="425"/>
        <w:rPr>
          <w:szCs w:val="22"/>
        </w:rPr>
      </w:pPr>
      <w:r w:rsidRPr="00607C47">
        <w:rPr>
          <w:rStyle w:val="Emphasis"/>
          <w:i w:val="0"/>
          <w:color w:val="000000"/>
          <w:sz w:val="22"/>
          <w:szCs w:val="22"/>
        </w:rPr>
        <w:t>Implement management and control</w:t>
      </w:r>
      <w:r w:rsidRPr="00607C47">
        <w:rPr>
          <w:color w:val="000000"/>
          <w:szCs w:val="22"/>
        </w:rPr>
        <w:t xml:space="preserve"> arrangements to ensure successful delivery</w:t>
      </w:r>
    </w:p>
    <w:p w14:paraId="2900328B" w14:textId="020D00C3" w:rsidR="00CE6D38" w:rsidRPr="00607C47" w:rsidRDefault="00CE6D38" w:rsidP="00607C47">
      <w:pPr>
        <w:pStyle w:val="ListParagraph"/>
        <w:numPr>
          <w:ilvl w:val="0"/>
          <w:numId w:val="47"/>
        </w:numPr>
        <w:spacing w:line="260" w:lineRule="atLeast"/>
        <w:ind w:left="425" w:hanging="425"/>
        <w:rPr>
          <w:szCs w:val="22"/>
        </w:rPr>
      </w:pPr>
      <w:r w:rsidRPr="00607C47">
        <w:rPr>
          <w:szCs w:val="22"/>
        </w:rPr>
        <w:t>Start delivery of</w:t>
      </w:r>
      <w:r w:rsidR="009D7B41" w:rsidRPr="00607C47">
        <w:rPr>
          <w:szCs w:val="22"/>
        </w:rPr>
        <w:t xml:space="preserve"> the </w:t>
      </w:r>
      <w:r w:rsidR="009D7B41" w:rsidRPr="00607C47">
        <w:rPr>
          <w:szCs w:val="22"/>
          <w:highlight w:val="yellow"/>
        </w:rPr>
        <w:t>project/tranche</w:t>
      </w:r>
      <w:r w:rsidR="009D7B41" w:rsidRPr="00607C47">
        <w:rPr>
          <w:szCs w:val="22"/>
        </w:rPr>
        <w:t xml:space="preserve"> including any organisational change</w:t>
      </w:r>
      <w:r w:rsidRPr="00607C47">
        <w:rPr>
          <w:szCs w:val="22"/>
        </w:rPr>
        <w:t xml:space="preserve"> and</w:t>
      </w:r>
      <w:r w:rsidR="009D7B41" w:rsidRPr="00607C47">
        <w:rPr>
          <w:szCs w:val="22"/>
        </w:rPr>
        <w:t xml:space="preserve"> any commissioning/decommissioning, </w:t>
      </w:r>
    </w:p>
    <w:p w14:paraId="30AA3A7A" w14:textId="77777777" w:rsidR="00885F89" w:rsidRPr="00607C47" w:rsidRDefault="00CE6D38" w:rsidP="00607C47">
      <w:pPr>
        <w:pStyle w:val="ListParagraph"/>
        <w:numPr>
          <w:ilvl w:val="0"/>
          <w:numId w:val="47"/>
        </w:numPr>
        <w:spacing w:line="260" w:lineRule="atLeast"/>
        <w:ind w:left="425" w:hanging="425"/>
        <w:rPr>
          <w:szCs w:val="22"/>
        </w:rPr>
      </w:pPr>
      <w:r w:rsidRPr="00607C47">
        <w:rPr>
          <w:szCs w:val="22"/>
        </w:rPr>
        <w:t xml:space="preserve">Initiate </w:t>
      </w:r>
      <w:r w:rsidR="004B3FF1" w:rsidRPr="00607C47">
        <w:rPr>
          <w:szCs w:val="22"/>
        </w:rPr>
        <w:t xml:space="preserve">assurance arrangements including, as required or appropriate, Independent Quality Assurance, Technical Quality Assurance, </w:t>
      </w:r>
      <w:r w:rsidR="009D7B41" w:rsidRPr="00607C47">
        <w:rPr>
          <w:szCs w:val="22"/>
        </w:rPr>
        <w:t xml:space="preserve">Gateway </w:t>
      </w:r>
      <w:r w:rsidR="004B3FF1" w:rsidRPr="00607C47">
        <w:rPr>
          <w:szCs w:val="22"/>
        </w:rPr>
        <w:t xml:space="preserve">Reviews </w:t>
      </w:r>
      <w:r w:rsidR="009D7B41" w:rsidRPr="00607C47">
        <w:rPr>
          <w:szCs w:val="22"/>
        </w:rPr>
        <w:t xml:space="preserve">and other </w:t>
      </w:r>
      <w:r w:rsidR="004B3FF1" w:rsidRPr="00607C47">
        <w:rPr>
          <w:szCs w:val="22"/>
        </w:rPr>
        <w:t>investment</w:t>
      </w:r>
      <w:r w:rsidR="009D7B41" w:rsidRPr="00607C47">
        <w:rPr>
          <w:szCs w:val="22"/>
        </w:rPr>
        <w:t xml:space="preserve"> reviews</w:t>
      </w:r>
    </w:p>
    <w:p w14:paraId="711B8F33" w14:textId="7C582C22" w:rsidR="009D7B41" w:rsidRPr="00607C47" w:rsidRDefault="00885F89" w:rsidP="00607C47">
      <w:pPr>
        <w:pStyle w:val="ListParagraph"/>
        <w:numPr>
          <w:ilvl w:val="0"/>
          <w:numId w:val="47"/>
        </w:numPr>
        <w:spacing w:line="260" w:lineRule="atLeast"/>
        <w:ind w:left="425" w:hanging="425"/>
        <w:rPr>
          <w:szCs w:val="22"/>
        </w:rPr>
      </w:pPr>
      <w:r w:rsidRPr="00607C47">
        <w:rPr>
          <w:szCs w:val="22"/>
        </w:rPr>
        <w:t xml:space="preserve">Regularly report on status and progress through </w:t>
      </w:r>
      <w:r w:rsidR="006A024A" w:rsidRPr="00607C47">
        <w:rPr>
          <w:szCs w:val="22"/>
        </w:rPr>
        <w:t>formal</w:t>
      </w:r>
      <w:r w:rsidRPr="00607C47">
        <w:rPr>
          <w:szCs w:val="22"/>
        </w:rPr>
        <w:t xml:space="preserve"> governance channels and reports.</w:t>
      </w:r>
      <w:r w:rsidR="009D7B41" w:rsidRPr="00607C47">
        <w:rPr>
          <w:szCs w:val="22"/>
        </w:rPr>
        <w:t xml:space="preserve"> </w:t>
      </w:r>
    </w:p>
    <w:p w14:paraId="55C745B0" w14:textId="77777777" w:rsidR="001442F9" w:rsidRDefault="001442F9" w:rsidP="003D5AF3">
      <w:pPr>
        <w:spacing w:line="260" w:lineRule="atLeast"/>
      </w:pPr>
    </w:p>
    <w:p w14:paraId="58C95AE3" w14:textId="77777777" w:rsidR="00A72E34" w:rsidRPr="00D17BFC" w:rsidRDefault="00A72E34" w:rsidP="006E4FDB">
      <w:pPr>
        <w:pStyle w:val="Heading1"/>
      </w:pPr>
      <w:bookmarkStart w:id="64" w:name="_Toc50548995"/>
      <w:r w:rsidRPr="00414BEF">
        <w:lastRenderedPageBreak/>
        <w:t>Background</w:t>
      </w:r>
      <w:r w:rsidR="007C1816">
        <w:t xml:space="preserve"> </w:t>
      </w:r>
      <w:r w:rsidR="007C1816" w:rsidRPr="00885F89">
        <w:rPr>
          <w:i/>
          <w:iCs/>
        </w:rPr>
        <w:t>[optional]</w:t>
      </w:r>
      <w:bookmarkEnd w:id="64"/>
    </w:p>
    <w:p w14:paraId="3FB08A29" w14:textId="77777777" w:rsidR="00A72E34" w:rsidRDefault="00A72E34"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This section is optional and provides background to the development of this business case.</w:t>
      </w:r>
      <w:r w:rsidR="004068DD">
        <w:rPr>
          <w:rStyle w:val="Emphasis"/>
        </w:rPr>
        <w:t xml:space="preserve"> This can provide additional information on previous business cases and stages of the investment. This may assist current stakeholders </w:t>
      </w:r>
      <w:r w:rsidR="00482953">
        <w:rPr>
          <w:rStyle w:val="Emphasis"/>
        </w:rPr>
        <w:t xml:space="preserve">who </w:t>
      </w:r>
      <w:r w:rsidR="004068DD">
        <w:rPr>
          <w:rStyle w:val="Emphasis"/>
        </w:rPr>
        <w:t xml:space="preserve">were not fully involved in previous business cases. </w:t>
      </w:r>
      <w:r w:rsidR="00482953">
        <w:rPr>
          <w:rStyle w:val="Emphasis"/>
        </w:rPr>
        <w:t xml:space="preserve"> </w:t>
      </w:r>
      <w:r w:rsidR="004068DD">
        <w:rPr>
          <w:rStyle w:val="Emphasis"/>
        </w:rPr>
        <w:t xml:space="preserve">The key points to summarise the strategic context go into the Strategic Case section, and should not be repeated in this section. </w:t>
      </w:r>
    </w:p>
    <w:p w14:paraId="72B11C9C" w14:textId="77777777" w:rsidR="00CF69BA" w:rsidRPr="0018417E" w:rsidRDefault="00CF69BA"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For a programme tranche, this section </w:t>
      </w:r>
      <w:r w:rsidR="00B62BD7">
        <w:rPr>
          <w:rStyle w:val="Emphasis"/>
        </w:rPr>
        <w:t>is</w:t>
      </w:r>
      <w:r>
        <w:rPr>
          <w:rStyle w:val="Emphasis"/>
        </w:rPr>
        <w:t xml:space="preserve"> used to provide an outline of the programme and how this tranche relates to others</w:t>
      </w:r>
      <w:r w:rsidR="00B62BD7">
        <w:rPr>
          <w:rStyle w:val="Emphasis"/>
        </w:rPr>
        <w:t>, in terms of scope, timing and contribution to benefits</w:t>
      </w:r>
      <w:r>
        <w:rPr>
          <w:rStyle w:val="Emphasis"/>
        </w:rPr>
        <w:t xml:space="preserve">. </w:t>
      </w:r>
    </w:p>
    <w:p w14:paraId="0FA38516" w14:textId="77777777" w:rsidR="00A72E34" w:rsidRDefault="00B62BD7" w:rsidP="003D5AF3">
      <w:pPr>
        <w:spacing w:line="260" w:lineRule="atLeast"/>
      </w:pPr>
      <w:r w:rsidRPr="00B62BD7">
        <w:rPr>
          <w:highlight w:val="yellow"/>
        </w:rPr>
        <w:t>Text</w:t>
      </w:r>
    </w:p>
    <w:p w14:paraId="0F354C93" w14:textId="77777777" w:rsidR="00A72E34" w:rsidRDefault="00A72E34" w:rsidP="001442F9"/>
    <w:p w14:paraId="0AC763FE" w14:textId="77777777" w:rsidR="001442F9" w:rsidRPr="00D17BFC" w:rsidRDefault="001442F9" w:rsidP="006E4FDB">
      <w:pPr>
        <w:pStyle w:val="Heading1"/>
      </w:pPr>
      <w:bookmarkStart w:id="65" w:name="_Strategic_Case_–"/>
      <w:bookmarkStart w:id="66" w:name="_Toc50548996"/>
      <w:bookmarkStart w:id="67" w:name="_Toc31266888"/>
      <w:bookmarkEnd w:id="65"/>
      <w:r w:rsidRPr="00D17BFC">
        <w:lastRenderedPageBreak/>
        <w:t>Strategic Case –</w:t>
      </w:r>
      <w:r w:rsidR="00E63754">
        <w:t xml:space="preserve"> </w:t>
      </w:r>
      <w:r w:rsidR="00760C40">
        <w:t xml:space="preserve">reviewing </w:t>
      </w:r>
      <w:r w:rsidR="00B631EA">
        <w:t>the case for c</w:t>
      </w:r>
      <w:r w:rsidRPr="00D17BFC">
        <w:t>hange</w:t>
      </w:r>
      <w:bookmarkEnd w:id="66"/>
      <w:r>
        <w:t xml:space="preserve"> </w:t>
      </w:r>
      <w:bookmarkEnd w:id="67"/>
    </w:p>
    <w:p w14:paraId="1E53D0C8" w14:textId="77777777" w:rsidR="00EF0FCF" w:rsidRPr="00584A3E" w:rsidRDefault="00584A3E" w:rsidP="00DB4A5A">
      <w:pPr>
        <w:pBdr>
          <w:top w:val="single" w:sz="4" w:space="4" w:color="F2F2F2"/>
          <w:left w:val="single" w:sz="4" w:space="4" w:color="F2F2F2"/>
          <w:bottom w:val="single" w:sz="4" w:space="8" w:color="F2F2F2"/>
          <w:right w:val="single" w:sz="4" w:space="4" w:color="F2F2F2"/>
        </w:pBdr>
        <w:spacing w:line="260" w:lineRule="atLeast"/>
        <w:rPr>
          <w:rStyle w:val="Hyperlink"/>
          <w:sz w:val="24"/>
          <w:szCs w:val="22"/>
        </w:rPr>
      </w:pPr>
      <w:r>
        <w:rPr>
          <w:i/>
          <w:sz w:val="24"/>
          <w:szCs w:val="22"/>
        </w:rPr>
        <w:fldChar w:fldCharType="begin"/>
      </w:r>
      <w:r>
        <w:rPr>
          <w:i/>
          <w:sz w:val="24"/>
          <w:szCs w:val="22"/>
        </w:rPr>
        <w:instrText xml:space="preserve"> HYPERLINK  \l "_Strategic_and_Economic" </w:instrText>
      </w:r>
      <w:r>
        <w:rPr>
          <w:i/>
          <w:sz w:val="24"/>
          <w:szCs w:val="22"/>
        </w:rPr>
        <w:fldChar w:fldCharType="separate"/>
      </w:r>
      <w:r w:rsidR="00EF0FCF" w:rsidRPr="00584A3E">
        <w:rPr>
          <w:rStyle w:val="Hyperlink"/>
          <w:i/>
          <w:sz w:val="24"/>
          <w:szCs w:val="22"/>
        </w:rPr>
        <w:t>&lt;</w:t>
      </w:r>
      <w:proofErr w:type="gramStart"/>
      <w:r w:rsidR="00EF0FCF" w:rsidRPr="00584A3E">
        <w:rPr>
          <w:rStyle w:val="Hyperlink"/>
          <w:i/>
          <w:sz w:val="24"/>
          <w:szCs w:val="22"/>
        </w:rPr>
        <w:t>go</w:t>
      </w:r>
      <w:proofErr w:type="gramEnd"/>
      <w:r w:rsidR="00EF0FCF" w:rsidRPr="00584A3E">
        <w:rPr>
          <w:rStyle w:val="Hyperlink"/>
          <w:i/>
          <w:sz w:val="24"/>
          <w:szCs w:val="22"/>
        </w:rPr>
        <w:t xml:space="preserve"> to guidance&gt;</w:t>
      </w:r>
    </w:p>
    <w:p w14:paraId="107D4367" w14:textId="01B6E035" w:rsidR="001442F9" w:rsidRPr="00C66E74" w:rsidRDefault="00584A3E" w:rsidP="00DB4A5A">
      <w:pPr>
        <w:pBdr>
          <w:top w:val="single" w:sz="4" w:space="4" w:color="auto"/>
          <w:left w:val="single" w:sz="4" w:space="4" w:color="auto"/>
          <w:bottom w:val="single" w:sz="4" w:space="8" w:color="auto"/>
          <w:right w:val="single" w:sz="4" w:space="4" w:color="auto"/>
        </w:pBdr>
        <w:shd w:val="clear" w:color="auto" w:fill="FFFF00"/>
        <w:spacing w:line="260" w:lineRule="atLeast"/>
        <w:rPr>
          <w:rStyle w:val="Emphasis"/>
          <w:i w:val="0"/>
          <w:color w:val="000000"/>
        </w:rPr>
      </w:pPr>
      <w:r>
        <w:rPr>
          <w:i/>
          <w:sz w:val="24"/>
          <w:szCs w:val="22"/>
        </w:rPr>
        <w:fldChar w:fldCharType="end"/>
      </w:r>
      <w:r w:rsidR="00B631EA" w:rsidRPr="00C66E74">
        <w:rPr>
          <w:rStyle w:val="Emphasis"/>
          <w:i w:val="0"/>
          <w:color w:val="000000"/>
        </w:rPr>
        <w:t xml:space="preserve">This section revisits the Strategic Case, </w:t>
      </w:r>
      <w:r w:rsidR="004D1DAF" w:rsidRPr="00C66E74">
        <w:rPr>
          <w:rStyle w:val="Emphasis"/>
          <w:i w:val="0"/>
          <w:color w:val="000000"/>
        </w:rPr>
        <w:t>with a BRIEF</w:t>
      </w:r>
      <w:r w:rsidR="00B631EA" w:rsidRPr="00C66E74">
        <w:rPr>
          <w:rStyle w:val="Emphasis"/>
          <w:i w:val="0"/>
          <w:color w:val="000000"/>
        </w:rPr>
        <w:t xml:space="preserve"> </w:t>
      </w:r>
      <w:r w:rsidR="00A5681D" w:rsidRPr="00C66E74">
        <w:rPr>
          <w:rStyle w:val="Emphasis"/>
          <w:i w:val="0"/>
          <w:color w:val="000000"/>
        </w:rPr>
        <w:t xml:space="preserve">update of the </w:t>
      </w:r>
      <w:r w:rsidR="00B03542" w:rsidRPr="00C66E74">
        <w:rPr>
          <w:rStyle w:val="Emphasis"/>
          <w:i w:val="0"/>
          <w:color w:val="000000"/>
        </w:rPr>
        <w:t xml:space="preserve">strategic </w:t>
      </w:r>
      <w:r w:rsidR="00A5681D" w:rsidRPr="00C66E74">
        <w:rPr>
          <w:rStyle w:val="Emphasis"/>
          <w:i w:val="0"/>
          <w:color w:val="000000"/>
        </w:rPr>
        <w:t>context</w:t>
      </w:r>
      <w:r w:rsidR="00B03542" w:rsidRPr="00C66E74">
        <w:rPr>
          <w:rStyle w:val="Emphasis"/>
          <w:i w:val="0"/>
          <w:color w:val="000000"/>
        </w:rPr>
        <w:t>, investment objectives</w:t>
      </w:r>
      <w:r w:rsidR="00A5681D" w:rsidRPr="00C66E74">
        <w:rPr>
          <w:rStyle w:val="Emphasis"/>
          <w:i w:val="0"/>
          <w:color w:val="000000"/>
        </w:rPr>
        <w:t xml:space="preserve"> and</w:t>
      </w:r>
      <w:r w:rsidR="00B631EA" w:rsidRPr="00C66E74">
        <w:rPr>
          <w:rStyle w:val="Emphasis"/>
          <w:i w:val="0"/>
          <w:color w:val="000000"/>
        </w:rPr>
        <w:t xml:space="preserve"> any </w:t>
      </w:r>
      <w:r w:rsidR="00B631EA" w:rsidRPr="00C66E74">
        <w:rPr>
          <w:rStyle w:val="Emphasis"/>
          <w:i w:val="0"/>
          <w:color w:val="000000"/>
          <w:u w:val="single"/>
        </w:rPr>
        <w:t>substantive</w:t>
      </w:r>
      <w:r w:rsidR="00B631EA" w:rsidRPr="00C66E74">
        <w:rPr>
          <w:rStyle w:val="Emphasis"/>
          <w:i w:val="0"/>
          <w:color w:val="000000"/>
        </w:rPr>
        <w:t xml:space="preserve"> changes that may have occurred since the previous business case</w:t>
      </w:r>
      <w:r w:rsidR="0048289F">
        <w:rPr>
          <w:rStyle w:val="Emphasis"/>
          <w:i w:val="0"/>
          <w:color w:val="000000"/>
        </w:rPr>
        <w:t>,</w:t>
      </w:r>
      <w:r w:rsidR="004D1DAF" w:rsidRPr="00C66E74">
        <w:rPr>
          <w:rStyle w:val="Emphasis"/>
          <w:i w:val="0"/>
          <w:color w:val="000000"/>
        </w:rPr>
        <w:t xml:space="preserve"> and to </w:t>
      </w:r>
      <w:r w:rsidR="0048289F">
        <w:rPr>
          <w:rStyle w:val="Emphasis"/>
          <w:i w:val="0"/>
          <w:color w:val="000000"/>
        </w:rPr>
        <w:t>update</w:t>
      </w:r>
      <w:r w:rsidR="004D1DAF" w:rsidRPr="00C66E74">
        <w:rPr>
          <w:rStyle w:val="Emphasis"/>
          <w:i w:val="0"/>
          <w:color w:val="000000"/>
        </w:rPr>
        <w:t xml:space="preserve"> any outstanding assumptions</w:t>
      </w:r>
      <w:r w:rsidR="00B631EA" w:rsidRPr="00C66E74">
        <w:rPr>
          <w:rStyle w:val="Emphasis"/>
          <w:i w:val="0"/>
          <w:color w:val="000000"/>
        </w:rPr>
        <w:t xml:space="preserve">. </w:t>
      </w:r>
      <w:r w:rsidR="00482953" w:rsidRPr="00C66E74">
        <w:rPr>
          <w:rStyle w:val="Emphasis"/>
          <w:i w:val="0"/>
          <w:color w:val="000000"/>
        </w:rPr>
        <w:t xml:space="preserve"> </w:t>
      </w:r>
      <w:r w:rsidR="00A5681D" w:rsidRPr="00C66E74">
        <w:rPr>
          <w:rStyle w:val="Emphasis"/>
          <w:i w:val="0"/>
          <w:color w:val="000000"/>
        </w:rPr>
        <w:t>W</w:t>
      </w:r>
      <w:r w:rsidR="00B62BD7" w:rsidRPr="00C66E74">
        <w:rPr>
          <w:rStyle w:val="Emphasis"/>
          <w:i w:val="0"/>
          <w:color w:val="000000"/>
        </w:rPr>
        <w:t xml:space="preserve">e recommend this be </w:t>
      </w:r>
      <w:r w:rsidR="001442F9" w:rsidRPr="00C66E74">
        <w:rPr>
          <w:rStyle w:val="Emphasis"/>
          <w:i w:val="0"/>
          <w:color w:val="000000"/>
        </w:rPr>
        <w:t xml:space="preserve">done as a </w:t>
      </w:r>
      <w:r w:rsidR="003D5AF3">
        <w:rPr>
          <w:rStyle w:val="Emphasis"/>
          <w:i w:val="0"/>
          <w:color w:val="000000"/>
        </w:rPr>
        <w:t xml:space="preserve">facilitated </w:t>
      </w:r>
      <w:r w:rsidR="001442F9" w:rsidRPr="00C66E74">
        <w:rPr>
          <w:rStyle w:val="Emphasis"/>
          <w:i w:val="0"/>
          <w:color w:val="000000"/>
        </w:rPr>
        <w:t xml:space="preserve">workshop </w:t>
      </w:r>
      <w:r w:rsidR="003D5AF3">
        <w:rPr>
          <w:rStyle w:val="Emphasis"/>
          <w:i w:val="0"/>
          <w:color w:val="000000"/>
        </w:rPr>
        <w:t>with</w:t>
      </w:r>
      <w:r w:rsidR="001442F9" w:rsidRPr="00C66E74">
        <w:rPr>
          <w:rStyle w:val="Emphasis"/>
          <w:i w:val="0"/>
          <w:color w:val="000000"/>
        </w:rPr>
        <w:t xml:space="preserve"> key stakeholders. </w:t>
      </w:r>
    </w:p>
    <w:p w14:paraId="308F897B" w14:textId="77777777" w:rsidR="00E74D24" w:rsidRPr="00D17BFC" w:rsidRDefault="00E74D24" w:rsidP="006E4FDB">
      <w:pPr>
        <w:pStyle w:val="Heading2"/>
      </w:pPr>
      <w:bookmarkStart w:id="68" w:name="_Toc381007684"/>
      <w:bookmarkStart w:id="69" w:name="_Toc20312786"/>
      <w:bookmarkStart w:id="70" w:name="_Toc31266889"/>
      <w:r>
        <w:t xml:space="preserve">Strategic Context and </w:t>
      </w:r>
      <w:r w:rsidRPr="00D17BFC">
        <w:t>Investment Objectives</w:t>
      </w:r>
      <w:bookmarkEnd w:id="68"/>
      <w:bookmarkEnd w:id="69"/>
    </w:p>
    <w:p w14:paraId="0D99FCF8" w14:textId="557D9D15" w:rsidR="009D3177" w:rsidRPr="0018417E" w:rsidRDefault="009D3177"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18417E">
        <w:rPr>
          <w:rStyle w:val="Emphasis"/>
        </w:rPr>
        <w:t>A robust and compelling case for change requires a thorough understanding of what the orga</w:t>
      </w:r>
      <w:r w:rsidR="00B03542">
        <w:rPr>
          <w:rStyle w:val="Emphasis"/>
        </w:rPr>
        <w:t>nisation is seeking to achieve</w:t>
      </w:r>
      <w:r w:rsidR="003D5AF3">
        <w:rPr>
          <w:rStyle w:val="Emphasis"/>
        </w:rPr>
        <w:t xml:space="preserve"> – </w:t>
      </w:r>
      <w:r w:rsidRPr="0018417E">
        <w:rPr>
          <w:rStyle w:val="Emphasis"/>
        </w:rPr>
        <w:t>describe</w:t>
      </w:r>
      <w:r>
        <w:rPr>
          <w:rStyle w:val="Emphasis"/>
        </w:rPr>
        <w:t xml:space="preserve">d </w:t>
      </w:r>
      <w:r w:rsidR="00B03542">
        <w:rPr>
          <w:rStyle w:val="Emphasis"/>
        </w:rPr>
        <w:t>by the Investment Objectives</w:t>
      </w:r>
      <w:r>
        <w:rPr>
          <w:rStyle w:val="Emphasis"/>
        </w:rPr>
        <w:t>.</w:t>
      </w:r>
      <w:r w:rsidR="00482953">
        <w:rPr>
          <w:rStyle w:val="Emphasis"/>
        </w:rPr>
        <w:t xml:space="preserve"> </w:t>
      </w:r>
      <w:r w:rsidR="00B03542" w:rsidRPr="00B03542">
        <w:rPr>
          <w:rStyle w:val="Emphasis"/>
        </w:rPr>
        <w:t xml:space="preserve"> </w:t>
      </w:r>
      <w:r w:rsidR="00B03542">
        <w:rPr>
          <w:rStyle w:val="Emphasis"/>
        </w:rPr>
        <w:t>Include references to the previous business case</w:t>
      </w:r>
      <w:r w:rsidR="003D5AF3">
        <w:rPr>
          <w:rStyle w:val="Emphasis"/>
        </w:rPr>
        <w:t>;</w:t>
      </w:r>
      <w:r w:rsidR="00DA59AF">
        <w:rPr>
          <w:rStyle w:val="Emphasis"/>
        </w:rPr>
        <w:t xml:space="preserve"> </w:t>
      </w:r>
      <w:r w:rsidR="00DF7473">
        <w:rPr>
          <w:rStyle w:val="Emphasis"/>
        </w:rPr>
        <w:t>identify</w:t>
      </w:r>
      <w:r w:rsidR="00DA59AF">
        <w:rPr>
          <w:rStyle w:val="Emphasis"/>
        </w:rPr>
        <w:t xml:space="preserve"> impacts to wellbeing and climate change</w:t>
      </w:r>
      <w:r w:rsidR="00B03542">
        <w:rPr>
          <w:rStyle w:val="Emphasis"/>
        </w:rPr>
        <w:t>.</w:t>
      </w:r>
    </w:p>
    <w:p w14:paraId="678A5BEE" w14:textId="77777777" w:rsidR="00E74D24" w:rsidRDefault="00BB0EBB" w:rsidP="003D5AF3">
      <w:pPr>
        <w:spacing w:line="260" w:lineRule="atLeast"/>
      </w:pPr>
      <w:r>
        <w:t xml:space="preserve">This investment enables </w:t>
      </w:r>
      <w:r w:rsidRPr="00B62BD7">
        <w:rPr>
          <w:highlight w:val="yellow"/>
        </w:rPr>
        <w:t>……</w:t>
      </w:r>
    </w:p>
    <w:p w14:paraId="41F5AF40" w14:textId="77777777" w:rsidR="00527D72" w:rsidRPr="00482953" w:rsidRDefault="00527D72" w:rsidP="00414BEF">
      <w:pPr>
        <w:pStyle w:val="TableHeading1"/>
        <w:spacing w:after="60" w:line="240" w:lineRule="auto"/>
      </w:pPr>
      <w:r w:rsidRPr="00482953">
        <w:t xml:space="preserve">Table </w:t>
      </w:r>
      <w:r w:rsidR="00980A4C" w:rsidRPr="00482953">
        <w:rPr>
          <w:shd w:val="clear" w:color="auto" w:fill="FFFF00"/>
        </w:rPr>
        <w:t>4</w:t>
      </w:r>
      <w:r w:rsidRPr="00482953">
        <w:t xml:space="preserve">: </w:t>
      </w:r>
      <w:r w:rsidRPr="00B62BD7">
        <w:rPr>
          <w:b w:val="0"/>
        </w:rPr>
        <w:t xml:space="preserve">The </w:t>
      </w:r>
      <w:r w:rsidR="00B03542" w:rsidRPr="00B62BD7">
        <w:rPr>
          <w:b w:val="0"/>
        </w:rPr>
        <w:t>I</w:t>
      </w:r>
      <w:r w:rsidRPr="00B62BD7">
        <w:rPr>
          <w:b w:val="0"/>
        </w:rPr>
        <w:t xml:space="preserve">nvestment </w:t>
      </w:r>
      <w:r w:rsidR="00B03542" w:rsidRPr="00B62BD7">
        <w:rPr>
          <w:b w:val="0"/>
        </w:rPr>
        <w:t>O</w:t>
      </w:r>
      <w:r w:rsidRPr="00B62BD7">
        <w:rPr>
          <w:b w:val="0"/>
        </w:rPr>
        <w:t>bjectives</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4678"/>
        <w:gridCol w:w="4678"/>
      </w:tblGrid>
      <w:tr w:rsidR="00527D72" w:rsidRPr="004C1278" w14:paraId="4DB51FBC" w14:textId="77777777" w:rsidTr="00607C47">
        <w:tc>
          <w:tcPr>
            <w:tcW w:w="4678" w:type="dxa"/>
            <w:shd w:val="clear" w:color="auto" w:fill="CCD3E1"/>
            <w:vAlign w:val="center"/>
          </w:tcPr>
          <w:p w14:paraId="0950F269" w14:textId="77777777" w:rsidR="00527D72" w:rsidRPr="009911C3" w:rsidRDefault="00527D72" w:rsidP="003D5AF3">
            <w:pPr>
              <w:pStyle w:val="TableHeading"/>
              <w:keepNext/>
              <w:spacing w:after="0" w:line="260" w:lineRule="atLeast"/>
            </w:pPr>
            <w:r>
              <w:t>Investment Objectives</w:t>
            </w:r>
          </w:p>
        </w:tc>
        <w:tc>
          <w:tcPr>
            <w:tcW w:w="4678" w:type="dxa"/>
            <w:shd w:val="clear" w:color="auto" w:fill="CCD3E1"/>
            <w:vAlign w:val="center"/>
          </w:tcPr>
          <w:p w14:paraId="0170568D" w14:textId="77777777" w:rsidR="00527D72" w:rsidRDefault="00C045BB" w:rsidP="003D5AF3">
            <w:pPr>
              <w:pStyle w:val="TableHeading"/>
              <w:keepNext/>
              <w:spacing w:after="0" w:line="260" w:lineRule="atLeast"/>
            </w:pPr>
            <w:r>
              <w:t>Updated?</w:t>
            </w:r>
            <w:r w:rsidR="00014CB6">
              <w:t xml:space="preserve"> If yes, describe change</w:t>
            </w:r>
          </w:p>
        </w:tc>
      </w:tr>
      <w:tr w:rsidR="00527D72" w:rsidRPr="00CC1667" w14:paraId="5E71C097" w14:textId="77777777" w:rsidTr="00607C47">
        <w:tc>
          <w:tcPr>
            <w:tcW w:w="4678" w:type="dxa"/>
            <w:vAlign w:val="center"/>
          </w:tcPr>
          <w:p w14:paraId="388F5833" w14:textId="77777777" w:rsidR="00527D72" w:rsidRPr="009911C3" w:rsidRDefault="00527D72" w:rsidP="003D5AF3">
            <w:pPr>
              <w:pStyle w:val="TableText"/>
              <w:numPr>
                <w:ilvl w:val="0"/>
                <w:numId w:val="11"/>
              </w:numPr>
              <w:autoSpaceDE/>
              <w:autoSpaceDN/>
              <w:adjustRightInd/>
              <w:spacing w:line="260" w:lineRule="atLeast"/>
            </w:pPr>
            <w:r>
              <w:t>Xxx</w:t>
            </w:r>
          </w:p>
        </w:tc>
        <w:tc>
          <w:tcPr>
            <w:tcW w:w="4678" w:type="dxa"/>
            <w:vAlign w:val="center"/>
          </w:tcPr>
          <w:p w14:paraId="6E3766DB" w14:textId="77777777" w:rsidR="00527D72" w:rsidRPr="009911C3" w:rsidRDefault="00527D72" w:rsidP="003D5AF3">
            <w:pPr>
              <w:spacing w:before="60" w:after="60" w:line="260" w:lineRule="atLeast"/>
              <w:rPr>
                <w:sz w:val="20"/>
              </w:rPr>
            </w:pPr>
          </w:p>
        </w:tc>
      </w:tr>
      <w:tr w:rsidR="00527D72" w:rsidRPr="00CC1667" w14:paraId="493407F3" w14:textId="77777777" w:rsidTr="00607C47">
        <w:tc>
          <w:tcPr>
            <w:tcW w:w="4678" w:type="dxa"/>
            <w:vAlign w:val="center"/>
          </w:tcPr>
          <w:p w14:paraId="4CF64363" w14:textId="77777777" w:rsidR="00527D72" w:rsidRPr="009911C3" w:rsidRDefault="00527D72" w:rsidP="003D5AF3">
            <w:pPr>
              <w:pStyle w:val="TableText"/>
              <w:numPr>
                <w:ilvl w:val="0"/>
                <w:numId w:val="11"/>
              </w:numPr>
              <w:autoSpaceDE/>
              <w:autoSpaceDN/>
              <w:adjustRightInd/>
              <w:spacing w:line="260" w:lineRule="atLeast"/>
            </w:pPr>
          </w:p>
        </w:tc>
        <w:tc>
          <w:tcPr>
            <w:tcW w:w="4678" w:type="dxa"/>
            <w:vAlign w:val="center"/>
          </w:tcPr>
          <w:p w14:paraId="1E840156" w14:textId="77777777" w:rsidR="00527D72" w:rsidRPr="009911C3" w:rsidRDefault="00527D72" w:rsidP="003D5AF3">
            <w:pPr>
              <w:spacing w:before="60" w:after="60" w:line="260" w:lineRule="atLeast"/>
              <w:rPr>
                <w:sz w:val="20"/>
              </w:rPr>
            </w:pPr>
          </w:p>
        </w:tc>
      </w:tr>
      <w:tr w:rsidR="00527D72" w:rsidRPr="00CC1667" w14:paraId="55BD5504" w14:textId="77777777" w:rsidTr="00607C47">
        <w:tc>
          <w:tcPr>
            <w:tcW w:w="4678" w:type="dxa"/>
            <w:vAlign w:val="center"/>
          </w:tcPr>
          <w:p w14:paraId="6C21C898" w14:textId="77777777" w:rsidR="00527D72" w:rsidRPr="009911C3" w:rsidRDefault="00527D72" w:rsidP="003D5AF3">
            <w:pPr>
              <w:pStyle w:val="TableText"/>
              <w:numPr>
                <w:ilvl w:val="0"/>
                <w:numId w:val="11"/>
              </w:numPr>
              <w:autoSpaceDE/>
              <w:autoSpaceDN/>
              <w:adjustRightInd/>
              <w:spacing w:line="260" w:lineRule="atLeast"/>
            </w:pPr>
          </w:p>
        </w:tc>
        <w:tc>
          <w:tcPr>
            <w:tcW w:w="4678" w:type="dxa"/>
            <w:vAlign w:val="center"/>
          </w:tcPr>
          <w:p w14:paraId="67196ED2" w14:textId="77777777" w:rsidR="00527D72" w:rsidRPr="009911C3" w:rsidRDefault="00527D72" w:rsidP="003D5AF3">
            <w:pPr>
              <w:spacing w:before="60" w:after="60" w:line="260" w:lineRule="atLeast"/>
              <w:rPr>
                <w:sz w:val="20"/>
              </w:rPr>
            </w:pPr>
          </w:p>
        </w:tc>
      </w:tr>
    </w:tbl>
    <w:p w14:paraId="72A0B0FA" w14:textId="77777777" w:rsidR="00014CB6" w:rsidRPr="00014CB6" w:rsidRDefault="00014CB6" w:rsidP="006E4FDB">
      <w:pPr>
        <w:pStyle w:val="TableHeading1"/>
        <w:spacing w:before="240" w:after="60" w:line="240" w:lineRule="auto"/>
        <w:rPr>
          <w:b w:val="0"/>
        </w:rPr>
      </w:pPr>
      <w:r w:rsidRPr="00811276">
        <w:t xml:space="preserve">Table </w:t>
      </w:r>
      <w:r w:rsidRPr="00811276">
        <w:rPr>
          <w:highlight w:val="yellow"/>
        </w:rPr>
        <w:t>5</w:t>
      </w:r>
      <w:r w:rsidRPr="00014CB6">
        <w:rPr>
          <w:b w:val="0"/>
        </w:rPr>
        <w:t xml:space="preserve">: Key </w:t>
      </w:r>
      <w:r>
        <w:rPr>
          <w:b w:val="0"/>
        </w:rPr>
        <w:t>P</w:t>
      </w:r>
      <w:r w:rsidRPr="00014CB6">
        <w:rPr>
          <w:b w:val="0"/>
        </w:rPr>
        <w:t>erformance Indicators</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4649"/>
        <w:gridCol w:w="4707"/>
      </w:tblGrid>
      <w:tr w:rsidR="00014CB6" w:rsidRPr="004C1278" w14:paraId="4AB2EB77" w14:textId="77777777" w:rsidTr="00607C47">
        <w:tc>
          <w:tcPr>
            <w:tcW w:w="4649" w:type="dxa"/>
            <w:shd w:val="clear" w:color="auto" w:fill="CCD3E1"/>
            <w:vAlign w:val="center"/>
          </w:tcPr>
          <w:p w14:paraId="19B24F20" w14:textId="77777777" w:rsidR="00014CB6" w:rsidRPr="009911C3" w:rsidRDefault="00014CB6" w:rsidP="003D5AF3">
            <w:pPr>
              <w:pStyle w:val="TableHeading"/>
              <w:keepNext/>
              <w:spacing w:after="0" w:line="260" w:lineRule="atLeast"/>
            </w:pPr>
            <w:r>
              <w:t>Key Performance Indicators</w:t>
            </w:r>
          </w:p>
        </w:tc>
        <w:tc>
          <w:tcPr>
            <w:tcW w:w="4707" w:type="dxa"/>
            <w:shd w:val="clear" w:color="auto" w:fill="CCD3E1"/>
            <w:vAlign w:val="center"/>
          </w:tcPr>
          <w:p w14:paraId="68922C1B" w14:textId="77777777" w:rsidR="00014CB6" w:rsidRDefault="00014CB6" w:rsidP="003D5AF3">
            <w:pPr>
              <w:pStyle w:val="TableHeading"/>
              <w:keepNext/>
              <w:spacing w:after="0" w:line="260" w:lineRule="atLeast"/>
            </w:pPr>
            <w:r>
              <w:t>Updated? If yes, describe change</w:t>
            </w:r>
          </w:p>
        </w:tc>
      </w:tr>
      <w:tr w:rsidR="00014CB6" w:rsidRPr="00CC1667" w14:paraId="7FD45E67" w14:textId="77777777" w:rsidTr="00607C47">
        <w:tc>
          <w:tcPr>
            <w:tcW w:w="4649" w:type="dxa"/>
            <w:vAlign w:val="center"/>
          </w:tcPr>
          <w:p w14:paraId="4CFFFE09" w14:textId="77777777" w:rsidR="00014CB6" w:rsidRPr="009911C3" w:rsidRDefault="00014CB6" w:rsidP="003D5AF3">
            <w:pPr>
              <w:pStyle w:val="TableText"/>
              <w:numPr>
                <w:ilvl w:val="0"/>
                <w:numId w:val="29"/>
              </w:numPr>
              <w:autoSpaceDE/>
              <w:autoSpaceDN/>
              <w:adjustRightInd/>
              <w:spacing w:line="260" w:lineRule="atLeast"/>
            </w:pPr>
            <w:r>
              <w:t>Xxx</w:t>
            </w:r>
          </w:p>
        </w:tc>
        <w:tc>
          <w:tcPr>
            <w:tcW w:w="4707" w:type="dxa"/>
            <w:vAlign w:val="center"/>
          </w:tcPr>
          <w:p w14:paraId="13C175E4" w14:textId="77777777" w:rsidR="00014CB6" w:rsidRPr="009911C3" w:rsidRDefault="00014CB6" w:rsidP="003D5AF3">
            <w:pPr>
              <w:spacing w:before="60" w:after="60" w:line="260" w:lineRule="atLeast"/>
              <w:rPr>
                <w:sz w:val="20"/>
              </w:rPr>
            </w:pPr>
          </w:p>
        </w:tc>
      </w:tr>
      <w:tr w:rsidR="00014CB6" w:rsidRPr="00CC1667" w14:paraId="4D84056E" w14:textId="77777777" w:rsidTr="00607C47">
        <w:tc>
          <w:tcPr>
            <w:tcW w:w="4649" w:type="dxa"/>
            <w:vAlign w:val="center"/>
          </w:tcPr>
          <w:p w14:paraId="11368690" w14:textId="77777777" w:rsidR="00014CB6" w:rsidRPr="009911C3" w:rsidRDefault="00014CB6" w:rsidP="003D5AF3">
            <w:pPr>
              <w:pStyle w:val="TableText"/>
              <w:numPr>
                <w:ilvl w:val="0"/>
                <w:numId w:val="29"/>
              </w:numPr>
              <w:autoSpaceDE/>
              <w:autoSpaceDN/>
              <w:adjustRightInd/>
              <w:spacing w:line="260" w:lineRule="atLeast"/>
            </w:pPr>
          </w:p>
        </w:tc>
        <w:tc>
          <w:tcPr>
            <w:tcW w:w="4707" w:type="dxa"/>
            <w:vAlign w:val="center"/>
          </w:tcPr>
          <w:p w14:paraId="73D50093" w14:textId="77777777" w:rsidR="00014CB6" w:rsidRPr="009911C3" w:rsidRDefault="00014CB6" w:rsidP="003D5AF3">
            <w:pPr>
              <w:spacing w:before="60" w:after="60" w:line="260" w:lineRule="atLeast"/>
              <w:rPr>
                <w:sz w:val="20"/>
              </w:rPr>
            </w:pPr>
          </w:p>
        </w:tc>
      </w:tr>
    </w:tbl>
    <w:p w14:paraId="7632EDF3" w14:textId="24B70E18" w:rsidR="001442F9" w:rsidRDefault="00BB0EBB" w:rsidP="006E4FDB">
      <w:pPr>
        <w:pStyle w:val="Heading2"/>
      </w:pPr>
      <w:r>
        <w:t>Revi</w:t>
      </w:r>
      <w:r w:rsidR="000855F4">
        <w:t>ew</w:t>
      </w:r>
      <w:r w:rsidR="00A64659">
        <w:t xml:space="preserve"> the Case for C</w:t>
      </w:r>
      <w:r w:rsidR="001442F9">
        <w:t>hange</w:t>
      </w:r>
      <w:bookmarkEnd w:id="70"/>
    </w:p>
    <w:p w14:paraId="1ADF77B8" w14:textId="77777777" w:rsidR="009D3177" w:rsidRDefault="00BB0EBB"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The Case for Change is describ</w:t>
      </w:r>
      <w:r w:rsidR="00B62BD7">
        <w:rPr>
          <w:rStyle w:val="Emphasis"/>
        </w:rPr>
        <w:t>ed in the previous business cases</w:t>
      </w:r>
      <w:r>
        <w:rPr>
          <w:rStyle w:val="Emphasis"/>
        </w:rPr>
        <w:t>.</w:t>
      </w:r>
      <w:r w:rsidR="00482953">
        <w:rPr>
          <w:rStyle w:val="Emphasis"/>
        </w:rPr>
        <w:t xml:space="preserve"> </w:t>
      </w:r>
      <w:r>
        <w:rPr>
          <w:rStyle w:val="Emphasis"/>
        </w:rPr>
        <w:t xml:space="preserve"> </w:t>
      </w:r>
      <w:r w:rsidR="009D3177">
        <w:rPr>
          <w:rStyle w:val="Emphasis"/>
        </w:rPr>
        <w:t xml:space="preserve">If updates or changes </w:t>
      </w:r>
      <w:r>
        <w:rPr>
          <w:rStyle w:val="Emphasis"/>
        </w:rPr>
        <w:t>have occurred</w:t>
      </w:r>
      <w:r w:rsidR="009D3177">
        <w:rPr>
          <w:rStyle w:val="Emphasis"/>
        </w:rPr>
        <w:t xml:space="preserve">, copy-and-paste the relevant subsections from the previous business case; update and identify the changes. </w:t>
      </w:r>
    </w:p>
    <w:p w14:paraId="0A008BD0" w14:textId="77777777" w:rsidR="009D3177" w:rsidRPr="00912451" w:rsidRDefault="009D3177"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912451">
        <w:rPr>
          <w:rStyle w:val="Emphasis"/>
        </w:rPr>
        <w:t xml:space="preserve">The stakeholders </w:t>
      </w:r>
      <w:r>
        <w:rPr>
          <w:rStyle w:val="Emphasis"/>
        </w:rPr>
        <w:t>must confirm that the Case for C</w:t>
      </w:r>
      <w:r w:rsidRPr="00912451">
        <w:rPr>
          <w:rStyle w:val="Emphasis"/>
        </w:rPr>
        <w:t>hange</w:t>
      </w:r>
      <w:r>
        <w:rPr>
          <w:rStyle w:val="Emphasis"/>
        </w:rPr>
        <w:t xml:space="preserve"> and the proposed Benefits are</w:t>
      </w:r>
      <w:r w:rsidRPr="00912451">
        <w:rPr>
          <w:rStyle w:val="Emphasis"/>
        </w:rPr>
        <w:t xml:space="preserve"> still valid and that the project/tranche should continue to </w:t>
      </w:r>
      <w:r>
        <w:rPr>
          <w:rStyle w:val="Emphasis"/>
        </w:rPr>
        <w:t>implementation</w:t>
      </w:r>
      <w:r w:rsidRPr="00912451">
        <w:rPr>
          <w:rStyle w:val="Emphasis"/>
        </w:rPr>
        <w:t>.</w:t>
      </w:r>
    </w:p>
    <w:p w14:paraId="746388F2" w14:textId="4CC7EB2A" w:rsidR="001442F9" w:rsidRPr="007A4FCF" w:rsidRDefault="00C72520" w:rsidP="007A4FCF">
      <w:pPr>
        <w:spacing w:line="260" w:lineRule="atLeast"/>
        <w:rPr>
          <w:i/>
          <w:color w:val="0000FF"/>
          <w:szCs w:val="22"/>
        </w:rPr>
      </w:pPr>
      <w:r w:rsidRPr="007A4FCF">
        <w:rPr>
          <w:szCs w:val="22"/>
          <w:highlight w:val="yellow"/>
        </w:rPr>
        <w:t xml:space="preserve">At a facilitated workshop on </w:t>
      </w:r>
      <w:r w:rsidRPr="007A4FCF">
        <w:rPr>
          <w:i/>
          <w:iCs/>
          <w:color w:val="0000FF"/>
          <w:szCs w:val="22"/>
          <w:highlight w:val="yellow"/>
        </w:rPr>
        <w:t>(date)</w:t>
      </w:r>
      <w:r w:rsidRPr="007A4FCF">
        <w:rPr>
          <w:color w:val="0000FF"/>
          <w:szCs w:val="22"/>
          <w:highlight w:val="yellow"/>
        </w:rPr>
        <w:t xml:space="preserve"> </w:t>
      </w:r>
      <w:r w:rsidRPr="007A4FCF">
        <w:rPr>
          <w:szCs w:val="22"/>
          <w:highlight w:val="yellow"/>
        </w:rPr>
        <w:t xml:space="preserve">key stakeholders </w:t>
      </w:r>
      <w:r w:rsidRPr="007A4FCF">
        <w:rPr>
          <w:i/>
          <w:iCs/>
          <w:color w:val="0000FF"/>
          <w:szCs w:val="22"/>
          <w:highlight w:val="yellow"/>
        </w:rPr>
        <w:t>(list)</w:t>
      </w:r>
      <w:r w:rsidRPr="007A4FCF">
        <w:rPr>
          <w:color w:val="0000FF"/>
          <w:szCs w:val="22"/>
          <w:highlight w:val="yellow"/>
        </w:rPr>
        <w:t xml:space="preserve"> </w:t>
      </w:r>
      <w:r w:rsidRPr="007A4FCF">
        <w:rPr>
          <w:szCs w:val="22"/>
          <w:highlight w:val="yellow"/>
        </w:rPr>
        <w:t>reviewed</w:t>
      </w:r>
      <w:r w:rsidR="001442F9" w:rsidRPr="007A4FCF">
        <w:rPr>
          <w:szCs w:val="22"/>
          <w:highlight w:val="yellow"/>
        </w:rPr>
        <w:t xml:space="preserve"> the Strategic Case as set out in the </w:t>
      </w:r>
      <w:r w:rsidR="00E123CB" w:rsidRPr="007A4FCF">
        <w:rPr>
          <w:szCs w:val="22"/>
          <w:highlight w:val="yellow"/>
        </w:rPr>
        <w:t>previous</w:t>
      </w:r>
      <w:r w:rsidR="00C703D2" w:rsidRPr="007A4FCF">
        <w:rPr>
          <w:szCs w:val="22"/>
          <w:highlight w:val="yellow"/>
        </w:rPr>
        <w:t xml:space="preserve"> business c</w:t>
      </w:r>
      <w:r w:rsidR="001442F9" w:rsidRPr="007A4FCF">
        <w:rPr>
          <w:szCs w:val="22"/>
          <w:highlight w:val="yellow"/>
        </w:rPr>
        <w:t>ase and confirm</w:t>
      </w:r>
      <w:r w:rsidRPr="007A4FCF">
        <w:rPr>
          <w:szCs w:val="22"/>
          <w:highlight w:val="yellow"/>
        </w:rPr>
        <w:t>ed</w:t>
      </w:r>
      <w:r w:rsidR="001442F9" w:rsidRPr="007A4FCF">
        <w:rPr>
          <w:szCs w:val="22"/>
          <w:highlight w:val="yellow"/>
        </w:rPr>
        <w:t xml:space="preserve"> that the strategic context and the case for change remains unchanged</w:t>
      </w:r>
      <w:r w:rsidR="001442F9" w:rsidRPr="007A4FCF">
        <w:rPr>
          <w:i/>
          <w:color w:val="0000FF"/>
          <w:szCs w:val="22"/>
          <w:highlight w:val="yellow"/>
        </w:rPr>
        <w:t>.</w:t>
      </w:r>
      <w:r w:rsidR="001442F9" w:rsidRPr="007A4FCF">
        <w:rPr>
          <w:color w:val="0000FF"/>
          <w:szCs w:val="22"/>
        </w:rPr>
        <w:t xml:space="preserve"> </w:t>
      </w:r>
      <w:r w:rsidR="003D5AF3" w:rsidRPr="007A4FCF">
        <w:rPr>
          <w:color w:val="0000FF"/>
          <w:szCs w:val="22"/>
        </w:rPr>
        <w:t xml:space="preserve"> </w:t>
      </w:r>
      <w:r w:rsidR="001442F9" w:rsidRPr="007A4FCF">
        <w:rPr>
          <w:i/>
          <w:color w:val="0000FF"/>
          <w:szCs w:val="22"/>
        </w:rPr>
        <w:t xml:space="preserve">- OR - </w:t>
      </w:r>
    </w:p>
    <w:p w14:paraId="3A4CF9C9" w14:textId="011BAC30" w:rsidR="007F34D1" w:rsidRPr="007A4FCF" w:rsidRDefault="00C72520" w:rsidP="007A4FCF">
      <w:pPr>
        <w:spacing w:line="260" w:lineRule="atLeast"/>
        <w:rPr>
          <w:rStyle w:val="Emphasis"/>
          <w:iCs w:val="0"/>
          <w:color w:val="0000FF"/>
          <w:sz w:val="22"/>
          <w:szCs w:val="22"/>
          <w:highlight w:val="yellow"/>
          <w:lang w:val="en-AU"/>
        </w:rPr>
      </w:pPr>
      <w:r w:rsidRPr="007A4FCF">
        <w:rPr>
          <w:szCs w:val="22"/>
          <w:highlight w:val="yellow"/>
        </w:rPr>
        <w:t xml:space="preserve">At a facilitated workshop on </w:t>
      </w:r>
      <w:r w:rsidRPr="007A4FCF">
        <w:rPr>
          <w:i/>
          <w:iCs/>
          <w:szCs w:val="22"/>
          <w:highlight w:val="yellow"/>
        </w:rPr>
        <w:t>(date)</w:t>
      </w:r>
      <w:r w:rsidRPr="007A4FCF">
        <w:rPr>
          <w:szCs w:val="22"/>
          <w:highlight w:val="yellow"/>
        </w:rPr>
        <w:t xml:space="preserve"> key stakeholders </w:t>
      </w:r>
      <w:r w:rsidRPr="007A4FCF">
        <w:rPr>
          <w:i/>
          <w:iCs/>
          <w:color w:val="0000FF"/>
          <w:szCs w:val="22"/>
          <w:highlight w:val="yellow"/>
        </w:rPr>
        <w:t>(list)</w:t>
      </w:r>
      <w:r w:rsidRPr="007A4FCF">
        <w:rPr>
          <w:szCs w:val="22"/>
          <w:highlight w:val="yellow"/>
        </w:rPr>
        <w:t xml:space="preserve"> reviewed </w:t>
      </w:r>
      <w:r w:rsidR="001442F9" w:rsidRPr="007A4FCF">
        <w:rPr>
          <w:szCs w:val="22"/>
          <w:highlight w:val="yellow"/>
        </w:rPr>
        <w:t xml:space="preserve">the Strategic Case as set out in the </w:t>
      </w:r>
      <w:r w:rsidR="00C703D2" w:rsidRPr="007A4FCF">
        <w:rPr>
          <w:szCs w:val="22"/>
          <w:highlight w:val="yellow"/>
        </w:rPr>
        <w:t>previous business c</w:t>
      </w:r>
      <w:r w:rsidR="001442F9" w:rsidRPr="007A4FCF">
        <w:rPr>
          <w:szCs w:val="22"/>
          <w:highlight w:val="yellow"/>
        </w:rPr>
        <w:t>ase and has identified the following changes that must be carried forward into this analysis:</w:t>
      </w:r>
      <w:r w:rsidR="003D5AF3" w:rsidRPr="007A4FCF">
        <w:rPr>
          <w:szCs w:val="22"/>
          <w:highlight w:val="yellow"/>
        </w:rPr>
        <w:t xml:space="preserve"> </w:t>
      </w:r>
      <w:r w:rsidR="007F34D1" w:rsidRPr="007A4FCF">
        <w:rPr>
          <w:rStyle w:val="Emphasis"/>
          <w:iCs w:val="0"/>
          <w:color w:val="0000FF"/>
          <w:sz w:val="22"/>
          <w:szCs w:val="22"/>
          <w:highlight w:val="yellow"/>
          <w:lang w:val="en-AU"/>
        </w:rPr>
        <w:t xml:space="preserve">List </w:t>
      </w:r>
      <w:r w:rsidRPr="007A4FCF">
        <w:rPr>
          <w:rStyle w:val="Emphasis"/>
          <w:iCs w:val="0"/>
          <w:color w:val="0000FF"/>
          <w:sz w:val="22"/>
          <w:szCs w:val="22"/>
          <w:highlight w:val="yellow"/>
          <w:lang w:val="en-AU"/>
        </w:rPr>
        <w:t>an</w:t>
      </w:r>
      <w:r w:rsidR="003D5AF3" w:rsidRPr="007A4FCF">
        <w:rPr>
          <w:rStyle w:val="Emphasis"/>
          <w:iCs w:val="0"/>
          <w:color w:val="0000FF"/>
          <w:sz w:val="22"/>
          <w:szCs w:val="22"/>
          <w:highlight w:val="yellow"/>
          <w:lang w:val="en-AU"/>
        </w:rPr>
        <w:t>y</w:t>
      </w:r>
      <w:r w:rsidRPr="007A4FCF">
        <w:rPr>
          <w:rStyle w:val="Emphasis"/>
          <w:iCs w:val="0"/>
          <w:color w:val="0000FF"/>
          <w:sz w:val="22"/>
          <w:szCs w:val="22"/>
          <w:highlight w:val="yellow"/>
          <w:lang w:val="en-AU"/>
        </w:rPr>
        <w:t xml:space="preserve"> material </w:t>
      </w:r>
      <w:r w:rsidR="007F34D1" w:rsidRPr="007A4FCF">
        <w:rPr>
          <w:rStyle w:val="Emphasis"/>
          <w:iCs w:val="0"/>
          <w:color w:val="0000FF"/>
          <w:sz w:val="22"/>
          <w:szCs w:val="22"/>
          <w:highlight w:val="yellow"/>
          <w:lang w:val="en-AU"/>
        </w:rPr>
        <w:t>changes to</w:t>
      </w:r>
      <w:r w:rsidRPr="007A4FCF">
        <w:rPr>
          <w:rStyle w:val="Emphasis"/>
          <w:iCs w:val="0"/>
          <w:color w:val="0000FF"/>
          <w:sz w:val="22"/>
          <w:szCs w:val="22"/>
          <w:highlight w:val="yellow"/>
          <w:lang w:val="en-AU"/>
        </w:rPr>
        <w:t xml:space="preserve"> the below and describe the resulting impact, particularly on the economic case, outcomes or benefits</w:t>
      </w:r>
      <w:r w:rsidR="007F34D1" w:rsidRPr="007A4FCF">
        <w:rPr>
          <w:rStyle w:val="Emphasis"/>
          <w:iCs w:val="0"/>
          <w:color w:val="0000FF"/>
          <w:sz w:val="22"/>
          <w:szCs w:val="22"/>
          <w:highlight w:val="yellow"/>
          <w:lang w:val="en-AU"/>
        </w:rPr>
        <w:t>:</w:t>
      </w:r>
    </w:p>
    <w:p w14:paraId="21FBA84E" w14:textId="4553C8D9" w:rsidR="001442F9" w:rsidRPr="007A4FCF" w:rsidRDefault="00A03B17" w:rsidP="007A4FCF">
      <w:pPr>
        <w:pStyle w:val="Bullet-list"/>
        <w:rPr>
          <w:rStyle w:val="Emphasis"/>
          <w:i w:val="0"/>
          <w:color w:val="000000"/>
          <w:sz w:val="22"/>
          <w:szCs w:val="22"/>
          <w:highlight w:val="yellow"/>
        </w:rPr>
      </w:pPr>
      <w:r w:rsidRPr="007A4FCF">
        <w:rPr>
          <w:rStyle w:val="Emphasis"/>
          <w:i w:val="0"/>
          <w:color w:val="000000"/>
          <w:sz w:val="22"/>
          <w:szCs w:val="22"/>
          <w:highlight w:val="yellow"/>
        </w:rPr>
        <w:t xml:space="preserve">Investment objectives and </w:t>
      </w:r>
      <w:r w:rsidR="001442F9" w:rsidRPr="007A4FCF">
        <w:rPr>
          <w:rStyle w:val="Emphasis"/>
          <w:i w:val="0"/>
          <w:color w:val="000000"/>
          <w:sz w:val="22"/>
          <w:szCs w:val="22"/>
          <w:highlight w:val="yellow"/>
        </w:rPr>
        <w:t>business needs</w:t>
      </w:r>
    </w:p>
    <w:p w14:paraId="4E747CD2" w14:textId="77777777" w:rsidR="001442F9" w:rsidRPr="007A4FCF" w:rsidRDefault="001442F9" w:rsidP="007A4FCF">
      <w:pPr>
        <w:pStyle w:val="Bullet-list"/>
        <w:rPr>
          <w:rStyle w:val="Emphasis"/>
          <w:i w:val="0"/>
          <w:color w:val="000000"/>
          <w:sz w:val="22"/>
          <w:szCs w:val="22"/>
          <w:highlight w:val="yellow"/>
        </w:rPr>
      </w:pPr>
      <w:r w:rsidRPr="007A4FCF">
        <w:rPr>
          <w:rStyle w:val="Emphasis"/>
          <w:i w:val="0"/>
          <w:color w:val="000000"/>
          <w:sz w:val="22"/>
          <w:szCs w:val="22"/>
          <w:highlight w:val="yellow"/>
        </w:rPr>
        <w:t>scope and service requirements</w:t>
      </w:r>
    </w:p>
    <w:p w14:paraId="65E55EE0" w14:textId="77777777" w:rsidR="00E74D24" w:rsidRPr="007A4FCF" w:rsidRDefault="00E74D24" w:rsidP="007A4FCF">
      <w:pPr>
        <w:pStyle w:val="Bullet-list"/>
        <w:rPr>
          <w:rStyle w:val="Emphasis"/>
          <w:i w:val="0"/>
          <w:color w:val="000000"/>
          <w:sz w:val="22"/>
          <w:szCs w:val="22"/>
          <w:highlight w:val="yellow"/>
        </w:rPr>
      </w:pPr>
      <w:r w:rsidRPr="007A4FCF">
        <w:rPr>
          <w:rStyle w:val="Emphasis"/>
          <w:i w:val="0"/>
          <w:color w:val="000000"/>
          <w:sz w:val="22"/>
          <w:szCs w:val="22"/>
          <w:highlight w:val="yellow"/>
        </w:rPr>
        <w:t>benefits</w:t>
      </w:r>
    </w:p>
    <w:p w14:paraId="5BC8F4B0" w14:textId="16E6AFEE" w:rsidR="001442F9" w:rsidRPr="007A4FCF" w:rsidRDefault="00E74D24" w:rsidP="007A4FCF">
      <w:pPr>
        <w:pStyle w:val="Bullet-list"/>
        <w:rPr>
          <w:szCs w:val="22"/>
          <w:highlight w:val="yellow"/>
        </w:rPr>
      </w:pPr>
      <w:proofErr w:type="gramStart"/>
      <w:r w:rsidRPr="007A4FCF">
        <w:rPr>
          <w:rStyle w:val="Emphasis"/>
          <w:i w:val="0"/>
          <w:color w:val="000000"/>
          <w:sz w:val="22"/>
          <w:szCs w:val="22"/>
          <w:highlight w:val="yellow"/>
        </w:rPr>
        <w:t>r</w:t>
      </w:r>
      <w:r w:rsidR="00E63754" w:rsidRPr="007A4FCF">
        <w:rPr>
          <w:rStyle w:val="Emphasis"/>
          <w:i w:val="0"/>
          <w:color w:val="000000"/>
          <w:sz w:val="22"/>
          <w:szCs w:val="22"/>
          <w:highlight w:val="yellow"/>
        </w:rPr>
        <w:t>isks</w:t>
      </w:r>
      <w:proofErr w:type="gramEnd"/>
      <w:r w:rsidR="00E63754" w:rsidRPr="007A4FCF">
        <w:rPr>
          <w:rStyle w:val="Emphasis"/>
          <w:i w:val="0"/>
          <w:color w:val="000000"/>
          <w:sz w:val="22"/>
          <w:szCs w:val="22"/>
          <w:highlight w:val="yellow"/>
        </w:rPr>
        <w:t>, dependencies and constraints.</w:t>
      </w:r>
    </w:p>
    <w:p w14:paraId="475FFC46" w14:textId="77777777" w:rsidR="00F73196" w:rsidRPr="00D17BFC" w:rsidRDefault="00F73196" w:rsidP="006E4FDB">
      <w:pPr>
        <w:pStyle w:val="Heading1"/>
      </w:pPr>
      <w:bookmarkStart w:id="71" w:name="_Investment_Objectives,_Existing"/>
      <w:bookmarkStart w:id="72" w:name="_Main_Benefits_&lt;link"/>
      <w:bookmarkStart w:id="73" w:name="_Main_Benefits_&lt;go"/>
      <w:bookmarkStart w:id="74" w:name="_Toc381007689"/>
      <w:bookmarkStart w:id="75" w:name="_Toc50548997"/>
      <w:bookmarkEnd w:id="71"/>
      <w:bookmarkEnd w:id="72"/>
      <w:bookmarkEnd w:id="73"/>
      <w:r w:rsidRPr="00D17BFC">
        <w:lastRenderedPageBreak/>
        <w:t xml:space="preserve">Economic Case – </w:t>
      </w:r>
      <w:r w:rsidR="00760C40">
        <w:t xml:space="preserve">reviewing </w:t>
      </w:r>
      <w:r w:rsidR="001442F9">
        <w:t xml:space="preserve">the </w:t>
      </w:r>
      <w:bookmarkEnd w:id="74"/>
      <w:r w:rsidR="00410D99">
        <w:t>Preferred Option</w:t>
      </w:r>
      <w:bookmarkEnd w:id="75"/>
      <w:r w:rsidR="00D1090D" w:rsidRPr="00D17BFC">
        <w:t xml:space="preserve"> </w:t>
      </w:r>
    </w:p>
    <w:p w14:paraId="485DD854" w14:textId="77777777" w:rsidR="00EF0FCF" w:rsidRPr="0048289F" w:rsidRDefault="00E30007" w:rsidP="003D5AF3">
      <w:pPr>
        <w:pBdr>
          <w:top w:val="single" w:sz="4" w:space="4" w:color="F2F2F2"/>
          <w:left w:val="single" w:sz="4" w:space="4" w:color="F2F2F2"/>
          <w:bottom w:val="single" w:sz="4" w:space="8" w:color="F2F2F2"/>
          <w:right w:val="single" w:sz="4" w:space="4" w:color="F2F2F2"/>
        </w:pBdr>
        <w:spacing w:line="260" w:lineRule="atLeast"/>
        <w:rPr>
          <w:rStyle w:val="Hyperlink"/>
          <w:i/>
          <w:szCs w:val="22"/>
        </w:rPr>
      </w:pPr>
      <w:r w:rsidRPr="0048289F">
        <w:rPr>
          <w:rStyle w:val="Hyperlink"/>
          <w:i/>
          <w:sz w:val="24"/>
          <w:szCs w:val="22"/>
        </w:rPr>
        <w:fldChar w:fldCharType="begin"/>
      </w:r>
      <w:r w:rsidR="00C064BB" w:rsidRPr="0048289F">
        <w:rPr>
          <w:rStyle w:val="Hyperlink"/>
          <w:i/>
          <w:sz w:val="24"/>
          <w:szCs w:val="22"/>
        </w:rPr>
        <w:instrText>HYPERLINK  \l "_Action_26:_Revisit"</w:instrText>
      </w:r>
      <w:r w:rsidRPr="0048289F">
        <w:rPr>
          <w:rStyle w:val="Hyperlink"/>
          <w:i/>
          <w:sz w:val="24"/>
          <w:szCs w:val="22"/>
        </w:rPr>
        <w:fldChar w:fldCharType="separate"/>
      </w:r>
      <w:r w:rsidR="00EF0FCF" w:rsidRPr="0048289F">
        <w:rPr>
          <w:rStyle w:val="Hyperlink"/>
          <w:i/>
          <w:sz w:val="24"/>
          <w:szCs w:val="22"/>
        </w:rPr>
        <w:t>&lt;</w:t>
      </w:r>
      <w:proofErr w:type="gramStart"/>
      <w:r w:rsidR="00EF0FCF" w:rsidRPr="0048289F">
        <w:rPr>
          <w:rStyle w:val="Hyperlink"/>
          <w:i/>
          <w:sz w:val="24"/>
          <w:szCs w:val="22"/>
        </w:rPr>
        <w:t>go</w:t>
      </w:r>
      <w:proofErr w:type="gramEnd"/>
      <w:r w:rsidR="00EF0FCF" w:rsidRPr="0048289F">
        <w:rPr>
          <w:rStyle w:val="Hyperlink"/>
          <w:i/>
          <w:sz w:val="24"/>
          <w:szCs w:val="22"/>
        </w:rPr>
        <w:t xml:space="preserve"> to guidance&gt;</w:t>
      </w:r>
    </w:p>
    <w:p w14:paraId="5340F29E" w14:textId="2969EBF2" w:rsidR="00917E73" w:rsidRPr="0048289F" w:rsidRDefault="00E30007" w:rsidP="003D5AF3">
      <w:pPr>
        <w:pBdr>
          <w:top w:val="single" w:sz="4" w:space="4" w:color="auto"/>
          <w:left w:val="single" w:sz="4" w:space="4" w:color="auto"/>
          <w:bottom w:val="single" w:sz="4" w:space="8" w:color="auto"/>
          <w:right w:val="single" w:sz="4" w:space="4" w:color="auto"/>
        </w:pBdr>
        <w:shd w:val="clear" w:color="auto" w:fill="FFFF00"/>
        <w:spacing w:line="260" w:lineRule="atLeast"/>
        <w:rPr>
          <w:rStyle w:val="Emphasis"/>
          <w:i w:val="0"/>
          <w:color w:val="000000" w:themeColor="text1"/>
        </w:rPr>
      </w:pPr>
      <w:r w:rsidRPr="0048289F">
        <w:rPr>
          <w:rStyle w:val="Hyperlink"/>
          <w:i/>
          <w:sz w:val="24"/>
          <w:szCs w:val="22"/>
        </w:rPr>
        <w:fldChar w:fldCharType="end"/>
      </w:r>
      <w:r w:rsidR="00917E73" w:rsidRPr="0048289F">
        <w:rPr>
          <w:rStyle w:val="Emphasis"/>
          <w:i w:val="0"/>
          <w:color w:val="000000" w:themeColor="text1"/>
        </w:rPr>
        <w:t xml:space="preserve">This section revisits the </w:t>
      </w:r>
      <w:r w:rsidR="006F10B0" w:rsidRPr="0048289F">
        <w:rPr>
          <w:rStyle w:val="Emphasis"/>
          <w:i w:val="0"/>
          <w:color w:val="000000" w:themeColor="text1"/>
        </w:rPr>
        <w:t>Economic</w:t>
      </w:r>
      <w:r w:rsidR="00917E73" w:rsidRPr="0048289F">
        <w:rPr>
          <w:rStyle w:val="Emphasis"/>
          <w:i w:val="0"/>
          <w:color w:val="000000" w:themeColor="text1"/>
        </w:rPr>
        <w:t xml:space="preserve"> Case, with a BRIEF update for any </w:t>
      </w:r>
      <w:r w:rsidR="00917E73" w:rsidRPr="0048289F">
        <w:rPr>
          <w:rStyle w:val="Emphasis"/>
          <w:i w:val="0"/>
          <w:color w:val="000000" w:themeColor="text1"/>
          <w:u w:val="single"/>
        </w:rPr>
        <w:t>substantive</w:t>
      </w:r>
      <w:r w:rsidR="00917E73" w:rsidRPr="0048289F">
        <w:rPr>
          <w:rStyle w:val="Emphasis"/>
          <w:i w:val="0"/>
          <w:color w:val="000000" w:themeColor="text1"/>
        </w:rPr>
        <w:t xml:space="preserve"> changes that may have occurred since the previous business case. Include reference</w:t>
      </w:r>
      <w:r w:rsidR="006F10B0" w:rsidRPr="0048289F">
        <w:rPr>
          <w:rStyle w:val="Emphasis"/>
          <w:i w:val="0"/>
          <w:color w:val="000000" w:themeColor="text1"/>
        </w:rPr>
        <w:t>s to the previous business case</w:t>
      </w:r>
      <w:r w:rsidR="00917E73" w:rsidRPr="0048289F">
        <w:rPr>
          <w:rStyle w:val="Emphasis"/>
          <w:i w:val="0"/>
          <w:color w:val="000000" w:themeColor="text1"/>
        </w:rPr>
        <w:t xml:space="preserve">. </w:t>
      </w:r>
    </w:p>
    <w:p w14:paraId="7DA88B02" w14:textId="77777777" w:rsidR="00EB5522" w:rsidRPr="00617529" w:rsidRDefault="00EB5522" w:rsidP="003D5AF3">
      <w:pPr>
        <w:pBdr>
          <w:top w:val="single" w:sz="4" w:space="1" w:color="auto"/>
          <w:left w:val="single" w:sz="4" w:space="4" w:color="auto"/>
          <w:bottom w:val="single" w:sz="4" w:space="1" w:color="auto"/>
          <w:right w:val="single" w:sz="4" w:space="4" w:color="auto"/>
        </w:pBdr>
        <w:shd w:val="clear" w:color="auto" w:fill="C5E0B3"/>
        <w:spacing w:line="260" w:lineRule="atLeast"/>
        <w:rPr>
          <w:rStyle w:val="Emphasis"/>
          <w:i w:val="0"/>
          <w:color w:val="000000"/>
        </w:rPr>
      </w:pPr>
      <w:r w:rsidRPr="00617529">
        <w:rPr>
          <w:rStyle w:val="Emphasis"/>
          <w:i w:val="0"/>
          <w:color w:val="000000"/>
        </w:rPr>
        <w:t>In addition, for Public-Private Partnership (</w:t>
      </w:r>
      <w:r>
        <w:rPr>
          <w:rStyle w:val="Emphasis"/>
          <w:i w:val="0"/>
          <w:color w:val="000000"/>
        </w:rPr>
        <w:t>PPP) infrastructure projects, this section</w:t>
      </w:r>
      <w:r w:rsidRPr="00617529">
        <w:rPr>
          <w:rStyle w:val="Emphasis"/>
          <w:i w:val="0"/>
          <w:color w:val="000000"/>
        </w:rPr>
        <w:t xml:space="preserve"> should demonstrate that using private finance optimises value for money for the government, by comparing it to the same solution using public capital</w:t>
      </w:r>
      <w:r w:rsidR="00B62BD7">
        <w:rPr>
          <w:rStyle w:val="Emphasis"/>
          <w:i w:val="0"/>
          <w:color w:val="000000"/>
        </w:rPr>
        <w:t xml:space="preserve"> (Public Sector Comparator)</w:t>
      </w:r>
      <w:r w:rsidRPr="00617529">
        <w:rPr>
          <w:rStyle w:val="Emphasis"/>
          <w:i w:val="0"/>
          <w:color w:val="000000"/>
        </w:rPr>
        <w:t>.</w:t>
      </w:r>
    </w:p>
    <w:p w14:paraId="45E9D658" w14:textId="77777777" w:rsidR="00917E73" w:rsidRDefault="000855F4" w:rsidP="006E4FDB">
      <w:pPr>
        <w:pStyle w:val="Heading2"/>
      </w:pPr>
      <w:r>
        <w:t>Review</w:t>
      </w:r>
      <w:r w:rsidR="00917E73">
        <w:t xml:space="preserve"> the </w:t>
      </w:r>
      <w:r w:rsidR="00240478">
        <w:t>Preferred Option</w:t>
      </w:r>
      <w:r w:rsidR="00917E73">
        <w:t xml:space="preserve"> </w:t>
      </w:r>
    </w:p>
    <w:p w14:paraId="36D0C94F" w14:textId="199C55A5" w:rsidR="006F10B0" w:rsidRPr="006F10B0" w:rsidRDefault="006F10B0" w:rsidP="003D5AF3">
      <w:pPr>
        <w:pBdr>
          <w:top w:val="single" w:sz="4" w:space="4" w:color="F2F2F2"/>
          <w:left w:val="single" w:sz="4" w:space="4" w:color="F2F2F2"/>
          <w:bottom w:val="single" w:sz="4" w:space="8" w:color="F2F2F2"/>
          <w:right w:val="single" w:sz="4" w:space="4" w:color="F2F2F2"/>
        </w:pBdr>
        <w:shd w:val="clear" w:color="auto" w:fill="DEEAF6"/>
        <w:spacing w:after="60" w:line="260" w:lineRule="atLeast"/>
        <w:rPr>
          <w:rStyle w:val="Emphasis"/>
        </w:rPr>
      </w:pPr>
      <w:r>
        <w:rPr>
          <w:rStyle w:val="Emphasis"/>
        </w:rPr>
        <w:t xml:space="preserve">The Preferred Option is selected </w:t>
      </w:r>
      <w:r w:rsidR="00551C98">
        <w:rPr>
          <w:rStyle w:val="Emphasis"/>
        </w:rPr>
        <w:t>in the Detailed/Single Stage Business Case, by analysi</w:t>
      </w:r>
      <w:r w:rsidR="004567B8">
        <w:rPr>
          <w:rStyle w:val="Emphasis"/>
        </w:rPr>
        <w:t>s of the short-list of options.</w:t>
      </w:r>
      <w:r>
        <w:rPr>
          <w:rStyle w:val="Emphasis"/>
        </w:rPr>
        <w:t xml:space="preserve"> </w:t>
      </w:r>
      <w:r w:rsidR="00482953">
        <w:rPr>
          <w:rStyle w:val="Emphasis"/>
        </w:rPr>
        <w:t xml:space="preserve"> </w:t>
      </w:r>
      <w:r w:rsidRPr="006F10B0">
        <w:rPr>
          <w:rStyle w:val="Emphasis"/>
        </w:rPr>
        <w:t xml:space="preserve">Since the approval of the </w:t>
      </w:r>
      <w:r w:rsidR="004567B8">
        <w:rPr>
          <w:rStyle w:val="Emphasis"/>
        </w:rPr>
        <w:t>SSBC/DBC</w:t>
      </w:r>
      <w:r w:rsidRPr="006F10B0">
        <w:rPr>
          <w:rStyle w:val="Emphasis"/>
        </w:rPr>
        <w:t xml:space="preserve">, new information may have become available that impacts on the </w:t>
      </w:r>
      <w:r>
        <w:rPr>
          <w:rStyle w:val="Emphasis"/>
        </w:rPr>
        <w:t>Preferred Option</w:t>
      </w:r>
      <w:r w:rsidRPr="006F10B0">
        <w:rPr>
          <w:rStyle w:val="Emphasis"/>
        </w:rPr>
        <w:t xml:space="preserve"> </w:t>
      </w:r>
      <w:r>
        <w:rPr>
          <w:rStyle w:val="Emphasis"/>
        </w:rPr>
        <w:t>and its</w:t>
      </w:r>
      <w:r w:rsidRPr="006F10B0">
        <w:rPr>
          <w:rStyle w:val="Emphasis"/>
        </w:rPr>
        <w:t xml:space="preserve"> selection. </w:t>
      </w:r>
      <w:r w:rsidR="00482953">
        <w:rPr>
          <w:rStyle w:val="Emphasis"/>
        </w:rPr>
        <w:t xml:space="preserve"> </w:t>
      </w:r>
      <w:r w:rsidRPr="006F10B0">
        <w:rPr>
          <w:rStyle w:val="Emphasis"/>
        </w:rPr>
        <w:t>For example, relative rankings may have changed as a result of:</w:t>
      </w:r>
    </w:p>
    <w:p w14:paraId="02C79F4A" w14:textId="77777777" w:rsidR="006F10B0" w:rsidRPr="006F10B0" w:rsidRDefault="006F10B0" w:rsidP="007A4FCF">
      <w:pPr>
        <w:numPr>
          <w:ilvl w:val="0"/>
          <w:numId w:val="9"/>
        </w:numPr>
        <w:pBdr>
          <w:top w:val="single" w:sz="4" w:space="4" w:color="F2F2F2"/>
          <w:left w:val="single" w:sz="4" w:space="4" w:color="F2F2F2"/>
          <w:bottom w:val="single" w:sz="4" w:space="8" w:color="F2F2F2"/>
          <w:right w:val="single" w:sz="4" w:space="4" w:color="F2F2F2"/>
        </w:pBdr>
        <w:shd w:val="clear" w:color="auto" w:fill="DEEAF6"/>
        <w:spacing w:after="60" w:line="260" w:lineRule="atLeast"/>
        <w:ind w:left="357" w:hanging="357"/>
        <w:rPr>
          <w:rStyle w:val="Emphasis"/>
        </w:rPr>
      </w:pPr>
      <w:r>
        <w:rPr>
          <w:rStyle w:val="Emphasis"/>
        </w:rPr>
        <w:t xml:space="preserve">more detailed information </w:t>
      </w:r>
      <w:r w:rsidRPr="006F10B0">
        <w:rPr>
          <w:rStyle w:val="Emphasis"/>
        </w:rPr>
        <w:t>provided by suppliers on costs and prices</w:t>
      </w:r>
    </w:p>
    <w:p w14:paraId="3F368737" w14:textId="60C1A7E5" w:rsidR="006F10B0" w:rsidRPr="006F10B0" w:rsidRDefault="006F10B0" w:rsidP="007A4FCF">
      <w:pPr>
        <w:numPr>
          <w:ilvl w:val="0"/>
          <w:numId w:val="9"/>
        </w:numPr>
        <w:pBdr>
          <w:top w:val="single" w:sz="4" w:space="4" w:color="F2F2F2"/>
          <w:left w:val="single" w:sz="4" w:space="4" w:color="F2F2F2"/>
          <w:bottom w:val="single" w:sz="4" w:space="8" w:color="F2F2F2"/>
          <w:right w:val="single" w:sz="4" w:space="4" w:color="F2F2F2"/>
        </w:pBdr>
        <w:shd w:val="clear" w:color="auto" w:fill="DEEAF6"/>
        <w:spacing w:after="60" w:line="260" w:lineRule="atLeast"/>
        <w:ind w:left="357" w:hanging="357"/>
        <w:rPr>
          <w:rStyle w:val="Emphasis"/>
        </w:rPr>
      </w:pPr>
      <w:r w:rsidRPr="006F10B0">
        <w:rPr>
          <w:rStyle w:val="Emphasis"/>
        </w:rPr>
        <w:t xml:space="preserve">lower </w:t>
      </w:r>
      <w:r w:rsidR="0048289F">
        <w:rPr>
          <w:rStyle w:val="Emphasis"/>
        </w:rPr>
        <w:t xml:space="preserve">(or higher) </w:t>
      </w:r>
      <w:r w:rsidRPr="006F10B0">
        <w:rPr>
          <w:rStyle w:val="Emphasis"/>
        </w:rPr>
        <w:t xml:space="preserve">than expected </w:t>
      </w:r>
      <w:r>
        <w:rPr>
          <w:rStyle w:val="Emphasis"/>
        </w:rPr>
        <w:t>B</w:t>
      </w:r>
      <w:r w:rsidRPr="006F10B0">
        <w:rPr>
          <w:rStyle w:val="Emphasis"/>
        </w:rPr>
        <w:t>enefits</w:t>
      </w:r>
    </w:p>
    <w:p w14:paraId="29EE1EB4" w14:textId="77777777" w:rsidR="006F10B0" w:rsidRPr="006F10B0" w:rsidRDefault="00F14EFC" w:rsidP="007A4FCF">
      <w:pPr>
        <w:numPr>
          <w:ilvl w:val="0"/>
          <w:numId w:val="9"/>
        </w:numPr>
        <w:pBdr>
          <w:top w:val="single" w:sz="4" w:space="4" w:color="F2F2F2"/>
          <w:left w:val="single" w:sz="4" w:space="4" w:color="F2F2F2"/>
          <w:bottom w:val="single" w:sz="4" w:space="8" w:color="F2F2F2"/>
          <w:right w:val="single" w:sz="4" w:space="4" w:color="F2F2F2"/>
        </w:pBdr>
        <w:shd w:val="clear" w:color="auto" w:fill="DEEAF6"/>
        <w:spacing w:after="60" w:line="260" w:lineRule="atLeast"/>
        <w:ind w:left="357" w:hanging="357"/>
        <w:rPr>
          <w:rStyle w:val="Emphasis"/>
        </w:rPr>
      </w:pPr>
      <w:r>
        <w:rPr>
          <w:rStyle w:val="Emphasis"/>
        </w:rPr>
        <w:t xml:space="preserve">reduced </w:t>
      </w:r>
      <w:r w:rsidR="006F10B0" w:rsidRPr="006F10B0">
        <w:rPr>
          <w:rStyle w:val="Emphasis"/>
        </w:rPr>
        <w:t>uncertainty in a high</w:t>
      </w:r>
      <w:r w:rsidR="00D26F82">
        <w:rPr>
          <w:rStyle w:val="Emphasis"/>
        </w:rPr>
        <w:t>er-</w:t>
      </w:r>
      <w:r w:rsidR="006F10B0" w:rsidRPr="006F10B0">
        <w:rPr>
          <w:rStyle w:val="Emphasis"/>
        </w:rPr>
        <w:t>risk option, making</w:t>
      </w:r>
      <w:r>
        <w:rPr>
          <w:rStyle w:val="Emphasis"/>
        </w:rPr>
        <w:t xml:space="preserve"> it relatively more attractive</w:t>
      </w:r>
    </w:p>
    <w:p w14:paraId="2F1CA214" w14:textId="77777777" w:rsidR="00B62BD7" w:rsidRDefault="00E64C3D" w:rsidP="007A4FCF">
      <w:pPr>
        <w:numPr>
          <w:ilvl w:val="0"/>
          <w:numId w:val="9"/>
        </w:numPr>
        <w:pBdr>
          <w:top w:val="single" w:sz="4" w:space="4" w:color="F2F2F2"/>
          <w:left w:val="single" w:sz="4" w:space="4" w:color="F2F2F2"/>
          <w:bottom w:val="single" w:sz="4" w:space="8" w:color="F2F2F2"/>
          <w:right w:val="single" w:sz="4" w:space="4" w:color="F2F2F2"/>
        </w:pBdr>
        <w:shd w:val="clear" w:color="auto" w:fill="DEEAF6"/>
        <w:spacing w:after="60" w:line="260" w:lineRule="atLeast"/>
        <w:ind w:left="357" w:hanging="357"/>
        <w:rPr>
          <w:rStyle w:val="Emphasis"/>
        </w:rPr>
      </w:pPr>
      <w:proofErr w:type="gramStart"/>
      <w:r>
        <w:rPr>
          <w:rStyle w:val="Emphasis"/>
        </w:rPr>
        <w:t>significant</w:t>
      </w:r>
      <w:proofErr w:type="gramEnd"/>
      <w:r>
        <w:rPr>
          <w:rStyle w:val="Emphasis"/>
        </w:rPr>
        <w:t xml:space="preserve"> changes within </w:t>
      </w:r>
      <w:r w:rsidR="006F10B0" w:rsidRPr="006F10B0">
        <w:rPr>
          <w:rStyle w:val="Emphasis"/>
        </w:rPr>
        <w:t>the proposed procurement arrangements.</w:t>
      </w:r>
    </w:p>
    <w:p w14:paraId="7882A610" w14:textId="4690341B" w:rsidR="004D7726" w:rsidRDefault="004D7726"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CF1420">
        <w:rPr>
          <w:rStyle w:val="Emphasis"/>
        </w:rPr>
        <w:t xml:space="preserve">Update the economic </w:t>
      </w:r>
      <w:r>
        <w:rPr>
          <w:rStyle w:val="Emphasis"/>
        </w:rPr>
        <w:t>analysis</w:t>
      </w:r>
      <w:r w:rsidRPr="00CF1420">
        <w:rPr>
          <w:rStyle w:val="Emphasis"/>
        </w:rPr>
        <w:t xml:space="preserve"> to </w:t>
      </w:r>
      <w:r>
        <w:rPr>
          <w:rStyle w:val="Emphasis"/>
        </w:rPr>
        <w:t>reflect any changes</w:t>
      </w:r>
      <w:r w:rsidR="00564DE5">
        <w:rPr>
          <w:rStyle w:val="Emphasis"/>
        </w:rPr>
        <w:t xml:space="preserve"> in the Preferred Option (including </w:t>
      </w:r>
      <w:r w:rsidR="004567B8">
        <w:rPr>
          <w:rStyle w:val="Emphasis"/>
        </w:rPr>
        <w:t xml:space="preserve">benefits and </w:t>
      </w:r>
      <w:r w:rsidR="00564DE5">
        <w:rPr>
          <w:rStyle w:val="Emphasis"/>
        </w:rPr>
        <w:t>risks)</w:t>
      </w:r>
      <w:r>
        <w:rPr>
          <w:rStyle w:val="Emphasis"/>
        </w:rPr>
        <w:t xml:space="preserve"> </w:t>
      </w:r>
      <w:r w:rsidR="00564DE5">
        <w:rPr>
          <w:rStyle w:val="Emphasis"/>
        </w:rPr>
        <w:t xml:space="preserve">following </w:t>
      </w:r>
      <w:r>
        <w:rPr>
          <w:rStyle w:val="Emphasis"/>
        </w:rPr>
        <w:t xml:space="preserve">selection of the </w:t>
      </w:r>
      <w:r w:rsidRPr="00CF1420">
        <w:rPr>
          <w:rStyle w:val="Emphasis"/>
        </w:rPr>
        <w:t>preferred supplier</w:t>
      </w:r>
      <w:r w:rsidR="004567B8">
        <w:rPr>
          <w:rStyle w:val="Emphasis"/>
        </w:rPr>
        <w:t>(</w:t>
      </w:r>
      <w:r>
        <w:rPr>
          <w:rStyle w:val="Emphasis"/>
        </w:rPr>
        <w:t>s</w:t>
      </w:r>
      <w:r w:rsidR="004567B8">
        <w:rPr>
          <w:rStyle w:val="Emphasis"/>
        </w:rPr>
        <w:t>)</w:t>
      </w:r>
      <w:r w:rsidRPr="00CF1420">
        <w:rPr>
          <w:rStyle w:val="Emphasis"/>
        </w:rPr>
        <w:t xml:space="preserve">. </w:t>
      </w:r>
      <w:r w:rsidR="0048289F">
        <w:rPr>
          <w:rStyle w:val="Emphasis"/>
        </w:rPr>
        <w:t>Include the updated economic analysis as Annex 3.</w:t>
      </w:r>
    </w:p>
    <w:p w14:paraId="4729BAFC" w14:textId="036B1BB5" w:rsidR="00E77813" w:rsidRDefault="00E77813"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If updates or changes are required, copy-and-paste the relevant subsections from the previous business case; identify the </w:t>
      </w:r>
      <w:r w:rsidR="008B52AA">
        <w:rPr>
          <w:rStyle w:val="Emphasis"/>
        </w:rPr>
        <w:t>changes and</w:t>
      </w:r>
      <w:r>
        <w:rPr>
          <w:rStyle w:val="Emphasis"/>
        </w:rPr>
        <w:t xml:space="preserve"> update the economic analysis for all impacted options. </w:t>
      </w:r>
    </w:p>
    <w:p w14:paraId="26F72319" w14:textId="0F64F8A8" w:rsidR="006F10B0" w:rsidRDefault="006F10B0"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6F10B0">
        <w:rPr>
          <w:rStyle w:val="Emphasis"/>
        </w:rPr>
        <w:t>In the case of significant change</w:t>
      </w:r>
      <w:r w:rsidR="007F34D1">
        <w:rPr>
          <w:rStyle w:val="Emphasis"/>
        </w:rPr>
        <w:t>,</w:t>
      </w:r>
      <w:r w:rsidRPr="006F10B0">
        <w:rPr>
          <w:rStyle w:val="Emphasis"/>
        </w:rPr>
        <w:t xml:space="preserve"> it is possible that decision-makers’ expectations </w:t>
      </w:r>
      <w:r w:rsidR="00551C98">
        <w:rPr>
          <w:rStyle w:val="Emphasis"/>
        </w:rPr>
        <w:t xml:space="preserve">or conditions </w:t>
      </w:r>
      <w:r w:rsidRPr="006F10B0">
        <w:rPr>
          <w:rStyle w:val="Emphasis"/>
        </w:rPr>
        <w:t xml:space="preserve">as part of </w:t>
      </w:r>
      <w:r w:rsidR="00551C98">
        <w:rPr>
          <w:rStyle w:val="Emphasis"/>
        </w:rPr>
        <w:t xml:space="preserve">DBC/SSBC </w:t>
      </w:r>
      <w:r w:rsidRPr="006F10B0">
        <w:rPr>
          <w:rStyle w:val="Emphasis"/>
        </w:rPr>
        <w:t xml:space="preserve">approval have not been met. </w:t>
      </w:r>
      <w:r w:rsidR="00482953">
        <w:rPr>
          <w:rStyle w:val="Emphasis"/>
        </w:rPr>
        <w:t xml:space="preserve"> </w:t>
      </w:r>
      <w:r w:rsidRPr="006F10B0">
        <w:rPr>
          <w:rStyle w:val="Emphasis"/>
        </w:rPr>
        <w:t xml:space="preserve">A more detailed report-back may be required with alternative recommendations. </w:t>
      </w:r>
      <w:r w:rsidR="00482953">
        <w:rPr>
          <w:rStyle w:val="Emphasis"/>
        </w:rPr>
        <w:t xml:space="preserve"> </w:t>
      </w:r>
      <w:r w:rsidRPr="006F10B0">
        <w:rPr>
          <w:rStyle w:val="Emphasis"/>
        </w:rPr>
        <w:t>If an alternative option is to be recommended, the Implementation Business Case should demonstrate that this option provides improved value for money compared to the other available options, including the original preferred option.</w:t>
      </w:r>
      <w:r>
        <w:rPr>
          <w:rStyle w:val="Emphasis"/>
        </w:rPr>
        <w:t xml:space="preserve"> </w:t>
      </w:r>
    </w:p>
    <w:p w14:paraId="720A4FD8" w14:textId="77777777" w:rsidR="00E77813" w:rsidRPr="00EC1A3D" w:rsidRDefault="0060463D"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60463D">
        <w:rPr>
          <w:rStyle w:val="Emphasis"/>
        </w:rPr>
        <w:t xml:space="preserve">Even if the changes are not sufficient to alter the choice of preferred option, </w:t>
      </w:r>
      <w:r>
        <w:rPr>
          <w:rStyle w:val="Emphasis"/>
        </w:rPr>
        <w:t>this section confirms</w:t>
      </w:r>
      <w:r w:rsidRPr="0060463D">
        <w:rPr>
          <w:rStyle w:val="Emphasis"/>
        </w:rPr>
        <w:t xml:space="preserve"> the conclusions of the economic assessment in the pre</w:t>
      </w:r>
      <w:r>
        <w:rPr>
          <w:rStyle w:val="Emphasis"/>
        </w:rPr>
        <w:t>vious business case.</w:t>
      </w:r>
    </w:p>
    <w:p w14:paraId="19BCE213" w14:textId="77777777" w:rsidR="005F16D9" w:rsidRPr="00CA64A6" w:rsidRDefault="002914CC" w:rsidP="006E4FDB">
      <w:pPr>
        <w:pStyle w:val="Heading3"/>
      </w:pPr>
      <w:r>
        <w:t xml:space="preserve">The </w:t>
      </w:r>
      <w:r w:rsidR="00CA64A6" w:rsidRPr="00CA64A6">
        <w:t>Preferred Option</w:t>
      </w:r>
    </w:p>
    <w:p w14:paraId="7E39C53F" w14:textId="5753BA02" w:rsidR="00D72761" w:rsidRPr="007A4FCF" w:rsidRDefault="00D72761" w:rsidP="003D5AF3">
      <w:pPr>
        <w:spacing w:line="260" w:lineRule="atLeast"/>
        <w:rPr>
          <w:rStyle w:val="Emphasis"/>
          <w:i w:val="0"/>
          <w:sz w:val="22"/>
          <w:szCs w:val="22"/>
        </w:rPr>
      </w:pPr>
      <w:r w:rsidRPr="007A4FCF">
        <w:rPr>
          <w:rStyle w:val="Emphasis"/>
          <w:i w:val="0"/>
          <w:sz w:val="22"/>
          <w:szCs w:val="22"/>
        </w:rPr>
        <w:t xml:space="preserve">The economic assessment in the previous business case determined that the Preferred Option to optimise </w:t>
      </w:r>
      <w:r w:rsidR="00B62BD7" w:rsidRPr="007A4FCF">
        <w:rPr>
          <w:rStyle w:val="Emphasis"/>
          <w:i w:val="0"/>
          <w:sz w:val="22"/>
          <w:szCs w:val="22"/>
        </w:rPr>
        <w:t>value to New Zealand</w:t>
      </w:r>
      <w:r w:rsidRPr="007A4FCF">
        <w:rPr>
          <w:rStyle w:val="Emphasis"/>
          <w:i w:val="0"/>
          <w:sz w:val="22"/>
          <w:szCs w:val="22"/>
        </w:rPr>
        <w:t xml:space="preserve"> is </w:t>
      </w:r>
      <w:r w:rsidR="00092A42" w:rsidRPr="007A4FCF">
        <w:rPr>
          <w:rStyle w:val="Emphasis"/>
          <w:i w:val="0"/>
          <w:sz w:val="22"/>
          <w:szCs w:val="22"/>
          <w:highlight w:val="yellow"/>
        </w:rPr>
        <w:t>Option X:</w:t>
      </w:r>
      <w:r w:rsidRPr="007A4FCF">
        <w:rPr>
          <w:rStyle w:val="Emphasis"/>
          <w:i w:val="0"/>
          <w:sz w:val="22"/>
          <w:szCs w:val="22"/>
          <w:highlight w:val="yellow"/>
        </w:rPr>
        <w:t>……</w:t>
      </w:r>
      <w:proofErr w:type="gramStart"/>
      <w:r w:rsidRPr="007A4FCF">
        <w:rPr>
          <w:rStyle w:val="Emphasis"/>
          <w:i w:val="0"/>
          <w:sz w:val="22"/>
          <w:szCs w:val="22"/>
          <w:highlight w:val="yellow"/>
        </w:rPr>
        <w:t>.</w:t>
      </w:r>
      <w:r w:rsidRPr="007A4FCF">
        <w:rPr>
          <w:rStyle w:val="Emphasis"/>
          <w:i w:val="0"/>
          <w:sz w:val="22"/>
          <w:szCs w:val="22"/>
        </w:rPr>
        <w:t xml:space="preserve">  because</w:t>
      </w:r>
      <w:proofErr w:type="gramEnd"/>
      <w:r w:rsidRPr="007A4FCF">
        <w:rPr>
          <w:rStyle w:val="Emphasis"/>
          <w:i w:val="0"/>
          <w:sz w:val="22"/>
          <w:szCs w:val="22"/>
          <w:highlight w:val="yellow"/>
        </w:rPr>
        <w:t>….</w:t>
      </w:r>
      <w:r w:rsidRPr="007A4FCF">
        <w:rPr>
          <w:rStyle w:val="Emphasis"/>
          <w:i w:val="0"/>
          <w:sz w:val="22"/>
          <w:szCs w:val="22"/>
        </w:rPr>
        <w:t xml:space="preserve"> </w:t>
      </w:r>
    </w:p>
    <w:p w14:paraId="0950F3A2" w14:textId="77777777" w:rsidR="00D72761" w:rsidRPr="007A4FCF" w:rsidRDefault="00D72761" w:rsidP="003D5AF3">
      <w:pPr>
        <w:spacing w:line="260" w:lineRule="atLeast"/>
        <w:rPr>
          <w:iCs/>
          <w:szCs w:val="22"/>
        </w:rPr>
      </w:pPr>
      <w:r w:rsidRPr="007A4FCF">
        <w:rPr>
          <w:rStyle w:val="Emphasis"/>
          <w:i w:val="0"/>
          <w:sz w:val="22"/>
          <w:szCs w:val="22"/>
        </w:rPr>
        <w:t xml:space="preserve">This was selected from </w:t>
      </w:r>
      <w:r w:rsidR="00B62BD7" w:rsidRPr="007A4FCF">
        <w:rPr>
          <w:rStyle w:val="Emphasis"/>
          <w:i w:val="0"/>
          <w:sz w:val="22"/>
          <w:szCs w:val="22"/>
        </w:rPr>
        <w:t>the following</w:t>
      </w:r>
      <w:r w:rsidRPr="007A4FCF">
        <w:rPr>
          <w:rStyle w:val="Emphasis"/>
          <w:i w:val="0"/>
          <w:sz w:val="22"/>
          <w:szCs w:val="22"/>
        </w:rPr>
        <w:t xml:space="preserve"> short-list of options</w:t>
      </w:r>
      <w:r w:rsidR="00B62BD7" w:rsidRPr="007A4FCF">
        <w:rPr>
          <w:rStyle w:val="Emphasis"/>
          <w:i w:val="0"/>
          <w:sz w:val="22"/>
          <w:szCs w:val="22"/>
        </w:rPr>
        <w:t>.</w:t>
      </w:r>
    </w:p>
    <w:p w14:paraId="019F3724" w14:textId="77777777" w:rsidR="00D72761" w:rsidRPr="00482953" w:rsidRDefault="00D72761" w:rsidP="00414BEF">
      <w:pPr>
        <w:pStyle w:val="TableHeading1"/>
        <w:spacing w:after="60"/>
      </w:pPr>
      <w:r w:rsidRPr="00482953">
        <w:t xml:space="preserve">Table </w:t>
      </w:r>
      <w:r w:rsidRPr="00482953">
        <w:rPr>
          <w:shd w:val="clear" w:color="auto" w:fill="FFFF00"/>
        </w:rPr>
        <w:t>x</w:t>
      </w:r>
      <w:r w:rsidRPr="00482953">
        <w:t xml:space="preserve">: </w:t>
      </w:r>
      <w:r w:rsidRPr="00B62BD7">
        <w:rPr>
          <w:b w:val="0"/>
        </w:rPr>
        <w:t>The key short-listed options</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127"/>
        <w:gridCol w:w="7229"/>
      </w:tblGrid>
      <w:tr w:rsidR="00D72761" w:rsidRPr="004C1278" w14:paraId="51049221" w14:textId="77777777" w:rsidTr="007A4FCF">
        <w:tc>
          <w:tcPr>
            <w:tcW w:w="2127" w:type="dxa"/>
            <w:shd w:val="clear" w:color="auto" w:fill="CCD3E1"/>
            <w:vAlign w:val="center"/>
          </w:tcPr>
          <w:p w14:paraId="541316C6" w14:textId="77777777" w:rsidR="00D72761" w:rsidRPr="009911C3" w:rsidRDefault="00D72761" w:rsidP="00E6310F">
            <w:pPr>
              <w:pStyle w:val="TableHeading"/>
              <w:spacing w:after="0"/>
            </w:pPr>
            <w:r>
              <w:t>Options</w:t>
            </w:r>
          </w:p>
        </w:tc>
        <w:tc>
          <w:tcPr>
            <w:tcW w:w="7229" w:type="dxa"/>
            <w:shd w:val="clear" w:color="auto" w:fill="CCD3E1"/>
            <w:vAlign w:val="center"/>
          </w:tcPr>
          <w:p w14:paraId="7B5D9AB2" w14:textId="77777777" w:rsidR="00D72761" w:rsidRDefault="00D72761" w:rsidP="00E6310F">
            <w:pPr>
              <w:pStyle w:val="TableHeading"/>
              <w:spacing w:after="0"/>
            </w:pPr>
            <w:r>
              <w:t>Description</w:t>
            </w:r>
          </w:p>
        </w:tc>
      </w:tr>
      <w:tr w:rsidR="00D72761" w:rsidRPr="00CC1667" w14:paraId="1DF4ED5C" w14:textId="77777777" w:rsidTr="007A4FCF">
        <w:tc>
          <w:tcPr>
            <w:tcW w:w="2127" w:type="dxa"/>
          </w:tcPr>
          <w:p w14:paraId="3766D262" w14:textId="77777777" w:rsidR="00D72761" w:rsidRPr="009911C3" w:rsidRDefault="00D72761" w:rsidP="00BC5ADB">
            <w:pPr>
              <w:pStyle w:val="TableText"/>
              <w:numPr>
                <w:ilvl w:val="0"/>
                <w:numId w:val="10"/>
              </w:numPr>
              <w:autoSpaceDE/>
              <w:autoSpaceDN/>
              <w:adjustRightInd/>
              <w:spacing w:line="264" w:lineRule="auto"/>
            </w:pPr>
            <w:r>
              <w:t xml:space="preserve">Do Nothing </w:t>
            </w:r>
            <w:r>
              <w:br/>
              <w:t>(status quo)</w:t>
            </w:r>
          </w:p>
        </w:tc>
        <w:tc>
          <w:tcPr>
            <w:tcW w:w="7229" w:type="dxa"/>
          </w:tcPr>
          <w:p w14:paraId="7EA1BDA2" w14:textId="77777777" w:rsidR="00D72761" w:rsidRPr="009911C3" w:rsidRDefault="00D72761" w:rsidP="00E6310F">
            <w:pPr>
              <w:spacing w:before="60" w:after="60"/>
              <w:rPr>
                <w:sz w:val="20"/>
              </w:rPr>
            </w:pPr>
            <w:r w:rsidRPr="00752047">
              <w:rPr>
                <w:iCs/>
              </w:rPr>
              <w:t>retained as a baseline comparator</w:t>
            </w:r>
          </w:p>
        </w:tc>
      </w:tr>
      <w:tr w:rsidR="00D72761" w:rsidRPr="00CC1667" w14:paraId="4295FE77" w14:textId="77777777" w:rsidTr="007A4FCF">
        <w:tc>
          <w:tcPr>
            <w:tcW w:w="2127" w:type="dxa"/>
          </w:tcPr>
          <w:p w14:paraId="58429F7D" w14:textId="77777777" w:rsidR="00D72761" w:rsidRPr="009911C3" w:rsidRDefault="00D72761" w:rsidP="00BC5ADB">
            <w:pPr>
              <w:pStyle w:val="TableText"/>
              <w:numPr>
                <w:ilvl w:val="0"/>
                <w:numId w:val="10"/>
              </w:numPr>
              <w:autoSpaceDE/>
              <w:autoSpaceDN/>
              <w:adjustRightInd/>
              <w:spacing w:line="264" w:lineRule="auto"/>
            </w:pPr>
            <w:r>
              <w:t>Do Minimum</w:t>
            </w:r>
          </w:p>
        </w:tc>
        <w:tc>
          <w:tcPr>
            <w:tcW w:w="7229" w:type="dxa"/>
          </w:tcPr>
          <w:p w14:paraId="0EED59AD" w14:textId="77777777" w:rsidR="00D72761" w:rsidRPr="009911C3" w:rsidRDefault="00D72761" w:rsidP="00E6310F">
            <w:pPr>
              <w:spacing w:before="60" w:after="60"/>
              <w:rPr>
                <w:sz w:val="20"/>
              </w:rPr>
            </w:pPr>
          </w:p>
        </w:tc>
      </w:tr>
      <w:tr w:rsidR="00D72761" w:rsidRPr="00CC1667" w14:paraId="748B16F5" w14:textId="77777777" w:rsidTr="007A4FCF">
        <w:tc>
          <w:tcPr>
            <w:tcW w:w="2127" w:type="dxa"/>
          </w:tcPr>
          <w:p w14:paraId="0F4FF30D" w14:textId="77777777" w:rsidR="00D72761" w:rsidRPr="005951E9" w:rsidRDefault="00D72761" w:rsidP="00BC5ADB">
            <w:pPr>
              <w:pStyle w:val="TableText"/>
              <w:numPr>
                <w:ilvl w:val="0"/>
                <w:numId w:val="10"/>
              </w:numPr>
              <w:autoSpaceDE/>
              <w:autoSpaceDN/>
              <w:adjustRightInd/>
              <w:spacing w:line="264" w:lineRule="auto"/>
            </w:pPr>
            <w:r w:rsidRPr="005951E9">
              <w:t>Intermediate</w:t>
            </w:r>
          </w:p>
        </w:tc>
        <w:tc>
          <w:tcPr>
            <w:tcW w:w="7229" w:type="dxa"/>
          </w:tcPr>
          <w:p w14:paraId="092BE8B5" w14:textId="77777777" w:rsidR="00D72761" w:rsidRPr="009911C3" w:rsidRDefault="00D72761" w:rsidP="00E6310F">
            <w:pPr>
              <w:spacing w:before="60" w:after="60"/>
              <w:rPr>
                <w:sz w:val="20"/>
              </w:rPr>
            </w:pPr>
          </w:p>
        </w:tc>
      </w:tr>
      <w:tr w:rsidR="00D72761" w:rsidRPr="00CC1667" w14:paraId="43D0E011" w14:textId="77777777" w:rsidTr="007A4FCF">
        <w:tc>
          <w:tcPr>
            <w:tcW w:w="2127" w:type="dxa"/>
          </w:tcPr>
          <w:p w14:paraId="16FC9F7B" w14:textId="77777777" w:rsidR="00D72761" w:rsidRPr="009911C3" w:rsidRDefault="00D72761" w:rsidP="00BC5ADB">
            <w:pPr>
              <w:pStyle w:val="TableText"/>
              <w:numPr>
                <w:ilvl w:val="0"/>
                <w:numId w:val="10"/>
              </w:numPr>
              <w:autoSpaceDE/>
              <w:autoSpaceDN/>
              <w:adjustRightInd/>
              <w:spacing w:line="264" w:lineRule="auto"/>
            </w:pPr>
            <w:r>
              <w:rPr>
                <w:iCs/>
              </w:rPr>
              <w:t>Aspirational</w:t>
            </w:r>
          </w:p>
        </w:tc>
        <w:tc>
          <w:tcPr>
            <w:tcW w:w="7229" w:type="dxa"/>
          </w:tcPr>
          <w:p w14:paraId="747EE981" w14:textId="77777777" w:rsidR="00D72761" w:rsidRPr="009911C3" w:rsidRDefault="00D72761" w:rsidP="00E6310F">
            <w:pPr>
              <w:spacing w:before="60" w:after="60"/>
              <w:rPr>
                <w:sz w:val="20"/>
              </w:rPr>
            </w:pPr>
          </w:p>
        </w:tc>
      </w:tr>
    </w:tbl>
    <w:p w14:paraId="3F30BCB9" w14:textId="77777777" w:rsidR="00D72761" w:rsidRDefault="00D72761" w:rsidP="003D5AF3">
      <w:pPr>
        <w:spacing w:line="260" w:lineRule="atLeast"/>
        <w:rPr>
          <w:rStyle w:val="Emphasis"/>
          <w:i w:val="0"/>
        </w:rPr>
      </w:pPr>
    </w:p>
    <w:p w14:paraId="4BC4E929" w14:textId="3811D08F" w:rsidR="006F6EA3" w:rsidRPr="007A4FCF" w:rsidRDefault="00C72520" w:rsidP="003D5AF3">
      <w:pPr>
        <w:spacing w:line="260" w:lineRule="atLeast"/>
        <w:rPr>
          <w:rStyle w:val="Emphasis"/>
          <w:i w:val="0"/>
          <w:sz w:val="22"/>
          <w:szCs w:val="22"/>
        </w:rPr>
      </w:pPr>
      <w:r w:rsidRPr="007A4FCF">
        <w:rPr>
          <w:szCs w:val="22"/>
          <w:highlight w:val="yellow"/>
        </w:rPr>
        <w:lastRenderedPageBreak/>
        <w:t xml:space="preserve">At a facilitated workshop on </w:t>
      </w:r>
      <w:r w:rsidRPr="007A4FCF">
        <w:rPr>
          <w:i/>
          <w:iCs/>
          <w:szCs w:val="22"/>
          <w:highlight w:val="yellow"/>
        </w:rPr>
        <w:t>(date)</w:t>
      </w:r>
      <w:r w:rsidRPr="007A4FCF">
        <w:rPr>
          <w:szCs w:val="22"/>
          <w:highlight w:val="yellow"/>
        </w:rPr>
        <w:t xml:space="preserve"> key stakeholders </w:t>
      </w:r>
      <w:r w:rsidRPr="007A4FCF">
        <w:rPr>
          <w:i/>
          <w:iCs/>
          <w:color w:val="0000FF"/>
          <w:szCs w:val="22"/>
          <w:highlight w:val="yellow"/>
        </w:rPr>
        <w:t>(list)</w:t>
      </w:r>
      <w:r w:rsidRPr="007A4FCF">
        <w:rPr>
          <w:szCs w:val="22"/>
          <w:highlight w:val="yellow"/>
        </w:rPr>
        <w:t xml:space="preserve"> </w:t>
      </w:r>
      <w:r w:rsidRPr="007A4FCF">
        <w:rPr>
          <w:szCs w:val="22"/>
        </w:rPr>
        <w:t>t</w:t>
      </w:r>
      <w:r w:rsidR="00D72761" w:rsidRPr="007A4FCF">
        <w:rPr>
          <w:rStyle w:val="Emphasis"/>
          <w:i w:val="0"/>
          <w:sz w:val="22"/>
          <w:szCs w:val="22"/>
        </w:rPr>
        <w:t>he</w:t>
      </w:r>
      <w:r w:rsidR="006F6EA3" w:rsidRPr="007A4FCF">
        <w:rPr>
          <w:szCs w:val="22"/>
        </w:rPr>
        <w:t xml:space="preserve"> </w:t>
      </w:r>
      <w:r w:rsidR="00D72761" w:rsidRPr="007A4FCF">
        <w:rPr>
          <w:szCs w:val="22"/>
        </w:rPr>
        <w:t>Preferred Option has been</w:t>
      </w:r>
      <w:r w:rsidR="006F6EA3" w:rsidRPr="007A4FCF">
        <w:rPr>
          <w:szCs w:val="22"/>
        </w:rPr>
        <w:t xml:space="preserve"> reassessed and </w:t>
      </w:r>
      <w:r w:rsidR="006F6EA3" w:rsidRPr="007A4FCF">
        <w:rPr>
          <w:rStyle w:val="Emphasis"/>
          <w:i w:val="0"/>
          <w:sz w:val="22"/>
          <w:szCs w:val="22"/>
        </w:rPr>
        <w:t xml:space="preserve">the analysis of key shortlist options updated. </w:t>
      </w:r>
    </w:p>
    <w:p w14:paraId="5C31AF92" w14:textId="214CE7CB" w:rsidR="006F6EA3" w:rsidRPr="007A4FCF" w:rsidRDefault="00551C98" w:rsidP="003D5AF3">
      <w:pPr>
        <w:spacing w:line="260" w:lineRule="atLeast"/>
        <w:rPr>
          <w:i/>
          <w:color w:val="0000FF"/>
          <w:szCs w:val="22"/>
        </w:rPr>
      </w:pPr>
      <w:r w:rsidRPr="007A4FCF">
        <w:rPr>
          <w:szCs w:val="22"/>
          <w:highlight w:val="yellow"/>
        </w:rPr>
        <w:t>&lt;</w:t>
      </w:r>
      <w:r w:rsidR="006F6EA3" w:rsidRPr="007A4FCF">
        <w:rPr>
          <w:szCs w:val="22"/>
          <w:highlight w:val="yellow"/>
        </w:rPr>
        <w:t xml:space="preserve">The </w:t>
      </w:r>
      <w:r w:rsidRPr="007A4FCF">
        <w:rPr>
          <w:szCs w:val="22"/>
          <w:highlight w:val="yellow"/>
        </w:rPr>
        <w:t>agency&gt;</w:t>
      </w:r>
      <w:r w:rsidR="006F6EA3" w:rsidRPr="007A4FCF">
        <w:rPr>
          <w:szCs w:val="22"/>
          <w:highlight w:val="yellow"/>
        </w:rPr>
        <w:t xml:space="preserve"> confirms that the Preferred Option still optimises </w:t>
      </w:r>
      <w:r w:rsidR="00B62BD7" w:rsidRPr="007A4FCF">
        <w:rPr>
          <w:szCs w:val="22"/>
          <w:highlight w:val="yellow"/>
        </w:rPr>
        <w:t>public value</w:t>
      </w:r>
      <w:r w:rsidR="006F6EA3" w:rsidRPr="007A4FCF">
        <w:rPr>
          <w:i/>
          <w:color w:val="0000FF"/>
          <w:szCs w:val="22"/>
          <w:highlight w:val="yellow"/>
        </w:rPr>
        <w:t>.</w:t>
      </w:r>
    </w:p>
    <w:p w14:paraId="79296088" w14:textId="77777777" w:rsidR="006F6EA3" w:rsidRPr="007A4FCF" w:rsidRDefault="006F6EA3" w:rsidP="003D5AF3">
      <w:pPr>
        <w:spacing w:line="260" w:lineRule="atLeast"/>
        <w:rPr>
          <w:i/>
          <w:color w:val="0000FF"/>
          <w:szCs w:val="22"/>
        </w:rPr>
      </w:pPr>
      <w:r w:rsidRPr="007A4FCF">
        <w:rPr>
          <w:i/>
          <w:color w:val="0000FF"/>
          <w:szCs w:val="22"/>
        </w:rPr>
        <w:t xml:space="preserve">- OR - </w:t>
      </w:r>
    </w:p>
    <w:p w14:paraId="43694235" w14:textId="12FA199C" w:rsidR="006F6EA3" w:rsidRPr="007A4FCF" w:rsidRDefault="00C72520" w:rsidP="003D5AF3">
      <w:pPr>
        <w:spacing w:line="260" w:lineRule="atLeast"/>
        <w:rPr>
          <w:szCs w:val="22"/>
          <w:highlight w:val="yellow"/>
        </w:rPr>
      </w:pPr>
      <w:r w:rsidRPr="007A4FCF">
        <w:rPr>
          <w:szCs w:val="22"/>
          <w:highlight w:val="yellow"/>
        </w:rPr>
        <w:t xml:space="preserve">At a facilitated workshop on </w:t>
      </w:r>
      <w:r w:rsidRPr="007A4FCF">
        <w:rPr>
          <w:i/>
          <w:iCs/>
          <w:szCs w:val="22"/>
          <w:highlight w:val="yellow"/>
        </w:rPr>
        <w:t>(date)</w:t>
      </w:r>
      <w:r w:rsidRPr="007A4FCF">
        <w:rPr>
          <w:szCs w:val="22"/>
          <w:highlight w:val="yellow"/>
        </w:rPr>
        <w:t xml:space="preserve"> key stakeholders </w:t>
      </w:r>
      <w:r w:rsidRPr="007A4FCF">
        <w:rPr>
          <w:i/>
          <w:iCs/>
          <w:color w:val="0000FF"/>
          <w:szCs w:val="22"/>
          <w:highlight w:val="yellow"/>
        </w:rPr>
        <w:t>(list</w:t>
      </w:r>
      <w:proofErr w:type="gramStart"/>
      <w:r w:rsidRPr="007A4FCF">
        <w:rPr>
          <w:i/>
          <w:iCs/>
          <w:color w:val="0000FF"/>
          <w:szCs w:val="22"/>
          <w:highlight w:val="yellow"/>
        </w:rPr>
        <w:t>)</w:t>
      </w:r>
      <w:r w:rsidRPr="007A4FCF">
        <w:rPr>
          <w:szCs w:val="22"/>
          <w:highlight w:val="yellow"/>
        </w:rPr>
        <w:t xml:space="preserve">  </w:t>
      </w:r>
      <w:r w:rsidR="006F6EA3" w:rsidRPr="007A4FCF">
        <w:rPr>
          <w:szCs w:val="22"/>
          <w:highlight w:val="yellow"/>
        </w:rPr>
        <w:t>identified</w:t>
      </w:r>
      <w:proofErr w:type="gramEnd"/>
      <w:r w:rsidR="006F6EA3" w:rsidRPr="007A4FCF">
        <w:rPr>
          <w:szCs w:val="22"/>
          <w:highlight w:val="yellow"/>
        </w:rPr>
        <w:t xml:space="preserve"> the following changes that affect the Preferred Option and/or the economic analysis</w:t>
      </w:r>
      <w:r w:rsidR="00092A42" w:rsidRPr="007A4FCF">
        <w:rPr>
          <w:szCs w:val="22"/>
          <w:highlight w:val="yellow"/>
        </w:rPr>
        <w:t xml:space="preserve"> and/or the value and/or timing of benefits:</w:t>
      </w:r>
    </w:p>
    <w:p w14:paraId="381DCE63" w14:textId="77777777" w:rsidR="006F6EA3" w:rsidRPr="007A4FCF" w:rsidRDefault="006F6EA3" w:rsidP="007A4FCF">
      <w:pPr>
        <w:pStyle w:val="ListParagraph"/>
        <w:spacing w:line="260" w:lineRule="atLeast"/>
        <w:rPr>
          <w:rStyle w:val="Emphasis"/>
          <w:i w:val="0"/>
          <w:color w:val="000000"/>
          <w:sz w:val="22"/>
          <w:szCs w:val="22"/>
          <w:highlight w:val="yellow"/>
          <w:lang w:val="en-AU"/>
        </w:rPr>
      </w:pPr>
      <w:r w:rsidRPr="007A4FCF">
        <w:rPr>
          <w:rStyle w:val="Emphasis"/>
          <w:i w:val="0"/>
          <w:color w:val="000000"/>
          <w:sz w:val="22"/>
          <w:szCs w:val="22"/>
          <w:highlight w:val="yellow"/>
          <w:lang w:val="en-AU"/>
        </w:rPr>
        <w:t>xx</w:t>
      </w:r>
    </w:p>
    <w:p w14:paraId="6A836B5A" w14:textId="3305A8CF" w:rsidR="00C703D2" w:rsidRPr="007A4FCF" w:rsidRDefault="00B2350E" w:rsidP="003D5AF3">
      <w:pPr>
        <w:spacing w:line="260" w:lineRule="atLeast"/>
        <w:rPr>
          <w:rStyle w:val="Emphasis"/>
          <w:i w:val="0"/>
          <w:sz w:val="22"/>
          <w:szCs w:val="22"/>
        </w:rPr>
      </w:pPr>
      <w:r w:rsidRPr="007A4FCF">
        <w:rPr>
          <w:rStyle w:val="Emphasis"/>
          <w:i w:val="0"/>
          <w:sz w:val="22"/>
          <w:szCs w:val="22"/>
          <w:highlight w:val="yellow"/>
        </w:rPr>
        <w:t>T</w:t>
      </w:r>
      <w:r w:rsidR="00551C98" w:rsidRPr="007A4FCF">
        <w:rPr>
          <w:rStyle w:val="Emphasis"/>
          <w:i w:val="0"/>
          <w:sz w:val="22"/>
          <w:szCs w:val="22"/>
          <w:highlight w:val="yellow"/>
        </w:rPr>
        <w:t>he changes have required a reassessment of</w:t>
      </w:r>
      <w:r w:rsidR="0070278E" w:rsidRPr="007A4FCF">
        <w:rPr>
          <w:rStyle w:val="Emphasis"/>
          <w:i w:val="0"/>
          <w:sz w:val="22"/>
          <w:szCs w:val="22"/>
          <w:highlight w:val="yellow"/>
        </w:rPr>
        <w:t xml:space="preserve"> t</w:t>
      </w:r>
      <w:r w:rsidRPr="007A4FCF">
        <w:rPr>
          <w:rStyle w:val="Emphasis"/>
          <w:i w:val="0"/>
          <w:sz w:val="22"/>
          <w:szCs w:val="22"/>
          <w:highlight w:val="yellow"/>
        </w:rPr>
        <w:t>he estima</w:t>
      </w:r>
      <w:r w:rsidR="0070278E" w:rsidRPr="007A4FCF">
        <w:rPr>
          <w:rStyle w:val="Emphasis"/>
          <w:i w:val="0"/>
          <w:sz w:val="22"/>
          <w:szCs w:val="22"/>
          <w:highlight w:val="yellow"/>
        </w:rPr>
        <w:t>ted costs and benefits for the Preferred O</w:t>
      </w:r>
      <w:r w:rsidRPr="007A4FCF">
        <w:rPr>
          <w:rStyle w:val="Emphasis"/>
          <w:i w:val="0"/>
          <w:sz w:val="22"/>
          <w:szCs w:val="22"/>
          <w:highlight w:val="yellow"/>
        </w:rPr>
        <w:t xml:space="preserve">ption and other key short-listed options as </w:t>
      </w:r>
      <w:r w:rsidR="008B072E" w:rsidRPr="007A4FCF">
        <w:rPr>
          <w:rStyle w:val="Emphasis"/>
          <w:i w:val="0"/>
          <w:sz w:val="22"/>
          <w:szCs w:val="22"/>
          <w:highlight w:val="yellow"/>
        </w:rPr>
        <w:t>follows:</w:t>
      </w:r>
    </w:p>
    <w:p w14:paraId="4EBA4F29" w14:textId="1ACCD97B" w:rsidR="00756659" w:rsidRPr="00551C98" w:rsidRDefault="00756659" w:rsidP="00414BEF">
      <w:pPr>
        <w:pStyle w:val="TableHeading1"/>
        <w:spacing w:after="60" w:line="240" w:lineRule="auto"/>
        <w:rPr>
          <w:b w:val="0"/>
          <w:i/>
          <w:iCs/>
          <w:color w:val="0000FF"/>
        </w:rPr>
      </w:pPr>
      <w:r w:rsidRPr="00211DDC">
        <w:t xml:space="preserve">Table </w:t>
      </w:r>
      <w:r w:rsidR="00D114F6">
        <w:rPr>
          <w:shd w:val="clear" w:color="auto" w:fill="FFFF00"/>
        </w:rPr>
        <w:t>x</w:t>
      </w:r>
      <w:r w:rsidRPr="00211DDC">
        <w:t>:</w:t>
      </w:r>
      <w:r w:rsidRPr="00CC1667">
        <w:t xml:space="preserve"> </w:t>
      </w:r>
      <w:r w:rsidR="0070278E" w:rsidRPr="00B62BD7">
        <w:rPr>
          <w:b w:val="0"/>
        </w:rPr>
        <w:t>Update</w:t>
      </w:r>
      <w:r w:rsidR="007C5782" w:rsidRPr="00B62BD7">
        <w:rPr>
          <w:b w:val="0"/>
        </w:rPr>
        <w:t>d</w:t>
      </w:r>
      <w:r w:rsidR="0070278E" w:rsidRPr="00B62BD7">
        <w:rPr>
          <w:b w:val="0"/>
        </w:rPr>
        <w:t xml:space="preserve"> assessment</w:t>
      </w:r>
      <w:r w:rsidRPr="00B62BD7">
        <w:rPr>
          <w:b w:val="0"/>
        </w:rPr>
        <w:t xml:space="preserve"> of the </w:t>
      </w:r>
      <w:r w:rsidR="0070278E" w:rsidRPr="00B62BD7">
        <w:rPr>
          <w:b w:val="0"/>
        </w:rPr>
        <w:t xml:space="preserve">short-list </w:t>
      </w:r>
      <w:r w:rsidRPr="00551C98">
        <w:rPr>
          <w:b w:val="0"/>
        </w:rPr>
        <w:t xml:space="preserve">options </w:t>
      </w:r>
      <w:r w:rsidR="00551C98" w:rsidRPr="00551C98">
        <w:rPr>
          <w:b w:val="0"/>
          <w:i/>
          <w:iCs/>
          <w:color w:val="0000FF"/>
        </w:rPr>
        <w:t>(include this table even if a reassessment has not been required)</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right w:w="57" w:type="dxa"/>
        </w:tblCellMar>
        <w:tblLook w:val="04A0" w:firstRow="1" w:lastRow="0" w:firstColumn="1" w:lastColumn="0" w:noHBand="0" w:noVBand="1"/>
      </w:tblPr>
      <w:tblGrid>
        <w:gridCol w:w="2098"/>
        <w:gridCol w:w="1814"/>
        <w:gridCol w:w="1815"/>
        <w:gridCol w:w="1814"/>
        <w:gridCol w:w="1815"/>
      </w:tblGrid>
      <w:tr w:rsidR="00756659" w:rsidRPr="00CC1667" w14:paraId="11674774" w14:textId="77777777" w:rsidTr="007A4FCF">
        <w:tc>
          <w:tcPr>
            <w:tcW w:w="2098" w:type="dxa"/>
            <w:shd w:val="clear" w:color="auto" w:fill="DEEAF5"/>
            <w:vAlign w:val="bottom"/>
          </w:tcPr>
          <w:p w14:paraId="5C7BAE36" w14:textId="77777777" w:rsidR="00756659" w:rsidRPr="009911C3" w:rsidRDefault="00756659" w:rsidP="005E212D">
            <w:pPr>
              <w:pStyle w:val="TableHeading"/>
              <w:spacing w:before="20" w:after="40" w:line="260" w:lineRule="exact"/>
            </w:pPr>
          </w:p>
        </w:tc>
        <w:tc>
          <w:tcPr>
            <w:tcW w:w="1814" w:type="dxa"/>
            <w:shd w:val="clear" w:color="auto" w:fill="DEEAF5"/>
          </w:tcPr>
          <w:p w14:paraId="0FD7310D" w14:textId="77777777" w:rsidR="00756659" w:rsidRPr="009911C3" w:rsidRDefault="00756659" w:rsidP="005E212D">
            <w:pPr>
              <w:pStyle w:val="TableHeading"/>
              <w:spacing w:before="20" w:after="40" w:line="260" w:lineRule="exact"/>
            </w:pPr>
            <w:r>
              <w:t xml:space="preserve">Option 1: </w:t>
            </w:r>
            <w:r>
              <w:br/>
              <w:t>Do Nothing</w:t>
            </w:r>
          </w:p>
        </w:tc>
        <w:tc>
          <w:tcPr>
            <w:tcW w:w="1815" w:type="dxa"/>
            <w:shd w:val="clear" w:color="auto" w:fill="DEEAF5"/>
          </w:tcPr>
          <w:p w14:paraId="4D81749F" w14:textId="77777777" w:rsidR="00756659" w:rsidRDefault="00756659" w:rsidP="005E212D">
            <w:pPr>
              <w:pStyle w:val="TableHeading"/>
              <w:spacing w:before="20" w:after="40" w:line="260" w:lineRule="exact"/>
            </w:pPr>
            <w:r>
              <w:t xml:space="preserve">Option 2: </w:t>
            </w:r>
            <w:r>
              <w:br/>
              <w:t>Do Minimum</w:t>
            </w:r>
          </w:p>
        </w:tc>
        <w:tc>
          <w:tcPr>
            <w:tcW w:w="1814" w:type="dxa"/>
            <w:shd w:val="clear" w:color="auto" w:fill="DEEAF5"/>
          </w:tcPr>
          <w:p w14:paraId="7A63DABD" w14:textId="77777777" w:rsidR="00756659" w:rsidRDefault="00756659" w:rsidP="005E212D">
            <w:pPr>
              <w:pStyle w:val="TableHeading"/>
              <w:spacing w:before="20" w:after="40" w:line="260" w:lineRule="exact"/>
            </w:pPr>
            <w:r>
              <w:t>Option 3: Intermediate</w:t>
            </w:r>
          </w:p>
        </w:tc>
        <w:tc>
          <w:tcPr>
            <w:tcW w:w="1815" w:type="dxa"/>
            <w:shd w:val="clear" w:color="auto" w:fill="DEEAF5"/>
          </w:tcPr>
          <w:p w14:paraId="63CB82D6" w14:textId="77777777" w:rsidR="00756659" w:rsidRDefault="00756659" w:rsidP="005E212D">
            <w:pPr>
              <w:pStyle w:val="TableHeading"/>
              <w:spacing w:before="20" w:after="40" w:line="260" w:lineRule="exact"/>
            </w:pPr>
            <w:r>
              <w:t>Option 4: Aspirational</w:t>
            </w:r>
          </w:p>
        </w:tc>
      </w:tr>
      <w:tr w:rsidR="00756659" w:rsidRPr="00CC1667" w14:paraId="407B09C3" w14:textId="77777777" w:rsidTr="007A4FCF">
        <w:tc>
          <w:tcPr>
            <w:tcW w:w="2098" w:type="dxa"/>
            <w:shd w:val="clear" w:color="auto" w:fill="DEEAF5"/>
          </w:tcPr>
          <w:p w14:paraId="422CDC58" w14:textId="77777777" w:rsidR="00756659" w:rsidRPr="005E140A" w:rsidRDefault="002D5894" w:rsidP="005E212D">
            <w:pPr>
              <w:spacing w:before="20" w:after="40" w:line="260" w:lineRule="exact"/>
              <w:rPr>
                <w:sz w:val="20"/>
              </w:rPr>
            </w:pPr>
            <w:r>
              <w:rPr>
                <w:sz w:val="20"/>
              </w:rPr>
              <w:t>Lifespan</w:t>
            </w:r>
            <w:r w:rsidR="00756659">
              <w:rPr>
                <w:sz w:val="20"/>
              </w:rPr>
              <w:t xml:space="preserve"> (years)</w:t>
            </w:r>
          </w:p>
        </w:tc>
        <w:tc>
          <w:tcPr>
            <w:tcW w:w="1814" w:type="dxa"/>
          </w:tcPr>
          <w:p w14:paraId="4E0E0671" w14:textId="77777777" w:rsidR="00756659" w:rsidRPr="009911C3" w:rsidRDefault="00756659" w:rsidP="005E212D">
            <w:pPr>
              <w:pStyle w:val="TableText"/>
              <w:spacing w:before="20" w:after="40" w:line="260" w:lineRule="exact"/>
            </w:pPr>
          </w:p>
        </w:tc>
        <w:tc>
          <w:tcPr>
            <w:tcW w:w="1815" w:type="dxa"/>
          </w:tcPr>
          <w:p w14:paraId="0B19FB2A" w14:textId="77777777" w:rsidR="00756659" w:rsidRDefault="00756659" w:rsidP="005E212D">
            <w:pPr>
              <w:pStyle w:val="TableText"/>
              <w:spacing w:before="20" w:after="40" w:line="260" w:lineRule="exact"/>
            </w:pPr>
          </w:p>
        </w:tc>
        <w:tc>
          <w:tcPr>
            <w:tcW w:w="1814" w:type="dxa"/>
          </w:tcPr>
          <w:p w14:paraId="7EC53320" w14:textId="77777777" w:rsidR="00756659" w:rsidRDefault="00756659" w:rsidP="005E212D">
            <w:pPr>
              <w:pStyle w:val="TableText"/>
              <w:spacing w:before="20" w:after="40" w:line="260" w:lineRule="exact"/>
            </w:pPr>
          </w:p>
        </w:tc>
        <w:tc>
          <w:tcPr>
            <w:tcW w:w="1815" w:type="dxa"/>
          </w:tcPr>
          <w:p w14:paraId="6E474DA8" w14:textId="77777777" w:rsidR="00756659" w:rsidRDefault="00756659" w:rsidP="005E212D">
            <w:pPr>
              <w:pStyle w:val="TableText"/>
              <w:spacing w:before="20" w:after="40" w:line="260" w:lineRule="exact"/>
            </w:pPr>
          </w:p>
        </w:tc>
      </w:tr>
      <w:tr w:rsidR="00756659" w:rsidRPr="00CC1667" w14:paraId="49AF8C52" w14:textId="77777777" w:rsidTr="007A4FCF">
        <w:tc>
          <w:tcPr>
            <w:tcW w:w="2098" w:type="dxa"/>
            <w:shd w:val="clear" w:color="auto" w:fill="DEEAF5"/>
          </w:tcPr>
          <w:p w14:paraId="4B324EB0" w14:textId="77777777" w:rsidR="00756659" w:rsidRPr="005E140A" w:rsidRDefault="00756659" w:rsidP="005E212D">
            <w:pPr>
              <w:spacing w:before="20" w:after="40" w:line="260" w:lineRule="exact"/>
              <w:rPr>
                <w:sz w:val="20"/>
              </w:rPr>
            </w:pPr>
            <w:r>
              <w:rPr>
                <w:sz w:val="20"/>
              </w:rPr>
              <w:t>Capital Costs</w:t>
            </w:r>
          </w:p>
        </w:tc>
        <w:tc>
          <w:tcPr>
            <w:tcW w:w="1814" w:type="dxa"/>
          </w:tcPr>
          <w:p w14:paraId="64018F66" w14:textId="77777777" w:rsidR="00756659" w:rsidRPr="009911C3" w:rsidRDefault="00756659" w:rsidP="005E212D">
            <w:pPr>
              <w:pStyle w:val="TableText"/>
              <w:spacing w:before="20" w:after="40" w:line="260" w:lineRule="exact"/>
            </w:pPr>
          </w:p>
        </w:tc>
        <w:tc>
          <w:tcPr>
            <w:tcW w:w="1815" w:type="dxa"/>
          </w:tcPr>
          <w:p w14:paraId="2AE7379D" w14:textId="77777777" w:rsidR="00756659" w:rsidRPr="009911C3" w:rsidRDefault="00756659" w:rsidP="005E212D">
            <w:pPr>
              <w:pStyle w:val="TableText"/>
              <w:spacing w:before="20" w:after="40" w:line="260" w:lineRule="exact"/>
            </w:pPr>
          </w:p>
        </w:tc>
        <w:tc>
          <w:tcPr>
            <w:tcW w:w="1814" w:type="dxa"/>
          </w:tcPr>
          <w:p w14:paraId="034D49AC" w14:textId="77777777" w:rsidR="00756659" w:rsidRPr="009911C3" w:rsidRDefault="00756659" w:rsidP="005E212D">
            <w:pPr>
              <w:pStyle w:val="TableText"/>
              <w:spacing w:before="20" w:after="40" w:line="260" w:lineRule="exact"/>
            </w:pPr>
          </w:p>
        </w:tc>
        <w:tc>
          <w:tcPr>
            <w:tcW w:w="1815" w:type="dxa"/>
          </w:tcPr>
          <w:p w14:paraId="470FF179" w14:textId="77777777" w:rsidR="00756659" w:rsidRPr="009911C3" w:rsidRDefault="00756659" w:rsidP="005E212D">
            <w:pPr>
              <w:pStyle w:val="TableText"/>
              <w:spacing w:before="20" w:after="40" w:line="260" w:lineRule="exact"/>
            </w:pPr>
          </w:p>
        </w:tc>
      </w:tr>
      <w:tr w:rsidR="00756659" w:rsidRPr="00CC1667" w14:paraId="0DD6F7E9" w14:textId="77777777" w:rsidTr="007A4FCF">
        <w:tc>
          <w:tcPr>
            <w:tcW w:w="2098" w:type="dxa"/>
            <w:shd w:val="clear" w:color="auto" w:fill="DEEAF5"/>
          </w:tcPr>
          <w:p w14:paraId="6EA6FCB4" w14:textId="77777777" w:rsidR="00756659" w:rsidRDefault="00B37357" w:rsidP="005E212D">
            <w:pPr>
              <w:spacing w:before="20" w:after="40" w:line="260" w:lineRule="exact"/>
              <w:rPr>
                <w:sz w:val="20"/>
              </w:rPr>
            </w:pPr>
            <w:proofErr w:type="spellStart"/>
            <w:r>
              <w:rPr>
                <w:sz w:val="20"/>
              </w:rPr>
              <w:t>Wo</w:t>
            </w:r>
            <w:r w:rsidR="00186661">
              <w:rPr>
                <w:sz w:val="20"/>
              </w:rPr>
              <w:t>L</w:t>
            </w:r>
            <w:proofErr w:type="spellEnd"/>
            <w:r w:rsidR="00756659">
              <w:rPr>
                <w:sz w:val="20"/>
              </w:rPr>
              <w:t xml:space="preserve"> costs</w:t>
            </w:r>
            <w:r w:rsidR="00186661">
              <w:rPr>
                <w:sz w:val="20"/>
              </w:rPr>
              <w:t>*</w:t>
            </w:r>
            <w:r w:rsidR="00756659">
              <w:rPr>
                <w:sz w:val="20"/>
              </w:rPr>
              <w:t xml:space="preserve"> (PV)</w:t>
            </w:r>
          </w:p>
        </w:tc>
        <w:tc>
          <w:tcPr>
            <w:tcW w:w="1814" w:type="dxa"/>
          </w:tcPr>
          <w:p w14:paraId="17397A35" w14:textId="77777777" w:rsidR="00756659" w:rsidRPr="009911C3" w:rsidRDefault="00756659" w:rsidP="005E212D">
            <w:pPr>
              <w:pStyle w:val="TableText"/>
              <w:spacing w:before="20" w:after="40" w:line="260" w:lineRule="exact"/>
            </w:pPr>
          </w:p>
        </w:tc>
        <w:tc>
          <w:tcPr>
            <w:tcW w:w="1815" w:type="dxa"/>
          </w:tcPr>
          <w:p w14:paraId="1311FDA0" w14:textId="77777777" w:rsidR="00756659" w:rsidRPr="009911C3" w:rsidRDefault="00756659" w:rsidP="005E212D">
            <w:pPr>
              <w:pStyle w:val="TableText"/>
              <w:spacing w:before="20" w:after="40" w:line="260" w:lineRule="exact"/>
            </w:pPr>
          </w:p>
        </w:tc>
        <w:tc>
          <w:tcPr>
            <w:tcW w:w="1814" w:type="dxa"/>
          </w:tcPr>
          <w:p w14:paraId="343BA9B5" w14:textId="77777777" w:rsidR="00756659" w:rsidRPr="009911C3" w:rsidRDefault="00756659" w:rsidP="005E212D">
            <w:pPr>
              <w:pStyle w:val="TableText"/>
              <w:spacing w:before="20" w:after="40" w:line="260" w:lineRule="exact"/>
            </w:pPr>
          </w:p>
        </w:tc>
        <w:tc>
          <w:tcPr>
            <w:tcW w:w="1815" w:type="dxa"/>
          </w:tcPr>
          <w:p w14:paraId="6FEA62A3" w14:textId="77777777" w:rsidR="00756659" w:rsidRPr="009911C3" w:rsidRDefault="00756659" w:rsidP="005E212D">
            <w:pPr>
              <w:pStyle w:val="TableText"/>
              <w:spacing w:before="20" w:after="40" w:line="260" w:lineRule="exact"/>
            </w:pPr>
          </w:p>
        </w:tc>
      </w:tr>
      <w:tr w:rsidR="001A6588" w:rsidRPr="00CC1667" w14:paraId="54A951B9" w14:textId="77777777" w:rsidTr="007A4FCF">
        <w:tc>
          <w:tcPr>
            <w:tcW w:w="2098" w:type="dxa"/>
            <w:shd w:val="clear" w:color="auto" w:fill="DEEAF5"/>
          </w:tcPr>
          <w:p w14:paraId="0AF16051" w14:textId="77777777" w:rsidR="001A6588" w:rsidRDefault="001A6588" w:rsidP="005E212D">
            <w:pPr>
              <w:spacing w:before="20" w:after="40" w:line="260" w:lineRule="exact"/>
              <w:rPr>
                <w:sz w:val="20"/>
              </w:rPr>
            </w:pPr>
            <w:proofErr w:type="spellStart"/>
            <w:r>
              <w:rPr>
                <w:sz w:val="20"/>
              </w:rPr>
              <w:t>WoL</w:t>
            </w:r>
            <w:proofErr w:type="spellEnd"/>
            <w:r>
              <w:rPr>
                <w:sz w:val="20"/>
              </w:rPr>
              <w:t xml:space="preserve"> benefits^ (PV)</w:t>
            </w:r>
          </w:p>
        </w:tc>
        <w:tc>
          <w:tcPr>
            <w:tcW w:w="1814" w:type="dxa"/>
          </w:tcPr>
          <w:p w14:paraId="6908BF84" w14:textId="77777777" w:rsidR="001A6588" w:rsidRPr="009911C3" w:rsidRDefault="001A6588" w:rsidP="005E212D">
            <w:pPr>
              <w:pStyle w:val="TableText"/>
              <w:spacing w:before="20" w:after="40" w:line="260" w:lineRule="exact"/>
            </w:pPr>
          </w:p>
        </w:tc>
        <w:tc>
          <w:tcPr>
            <w:tcW w:w="1815" w:type="dxa"/>
          </w:tcPr>
          <w:p w14:paraId="0FA81EB8" w14:textId="77777777" w:rsidR="001A6588" w:rsidRPr="009911C3" w:rsidRDefault="001A6588" w:rsidP="005E212D">
            <w:pPr>
              <w:pStyle w:val="TableText"/>
              <w:spacing w:before="20" w:after="40" w:line="260" w:lineRule="exact"/>
            </w:pPr>
          </w:p>
        </w:tc>
        <w:tc>
          <w:tcPr>
            <w:tcW w:w="1814" w:type="dxa"/>
          </w:tcPr>
          <w:p w14:paraId="3FAF44AC" w14:textId="77777777" w:rsidR="001A6588" w:rsidRPr="009911C3" w:rsidRDefault="001A6588" w:rsidP="005E212D">
            <w:pPr>
              <w:pStyle w:val="TableText"/>
              <w:spacing w:before="20" w:after="40" w:line="260" w:lineRule="exact"/>
            </w:pPr>
          </w:p>
        </w:tc>
        <w:tc>
          <w:tcPr>
            <w:tcW w:w="1815" w:type="dxa"/>
          </w:tcPr>
          <w:p w14:paraId="41EA4D6E" w14:textId="77777777" w:rsidR="001A6588" w:rsidRPr="009911C3" w:rsidRDefault="001A6588" w:rsidP="005E212D">
            <w:pPr>
              <w:pStyle w:val="TableText"/>
              <w:spacing w:before="20" w:after="40" w:line="260" w:lineRule="exact"/>
            </w:pPr>
          </w:p>
        </w:tc>
      </w:tr>
      <w:tr w:rsidR="00636820" w:rsidRPr="00CC1667" w14:paraId="0D0C904B" w14:textId="77777777" w:rsidTr="007A4FCF">
        <w:tc>
          <w:tcPr>
            <w:tcW w:w="2098" w:type="dxa"/>
            <w:shd w:val="clear" w:color="auto" w:fill="DEEAF5"/>
          </w:tcPr>
          <w:p w14:paraId="7EB0FB19" w14:textId="77777777" w:rsidR="00636820" w:rsidRDefault="00636820" w:rsidP="005E212D">
            <w:pPr>
              <w:spacing w:before="20" w:after="40" w:line="260" w:lineRule="exact"/>
              <w:rPr>
                <w:sz w:val="20"/>
              </w:rPr>
            </w:pPr>
            <w:r>
              <w:rPr>
                <w:sz w:val="20"/>
              </w:rPr>
              <w:t>Benefit/cost ratio</w:t>
            </w:r>
          </w:p>
        </w:tc>
        <w:tc>
          <w:tcPr>
            <w:tcW w:w="1814" w:type="dxa"/>
          </w:tcPr>
          <w:p w14:paraId="669DE691" w14:textId="77777777" w:rsidR="00636820" w:rsidRPr="009911C3" w:rsidRDefault="00636820" w:rsidP="005E212D">
            <w:pPr>
              <w:pStyle w:val="TableText"/>
              <w:spacing w:before="20" w:after="40" w:line="260" w:lineRule="exact"/>
            </w:pPr>
          </w:p>
        </w:tc>
        <w:tc>
          <w:tcPr>
            <w:tcW w:w="1815" w:type="dxa"/>
          </w:tcPr>
          <w:p w14:paraId="52A32583" w14:textId="77777777" w:rsidR="00636820" w:rsidRPr="009911C3" w:rsidRDefault="00636820" w:rsidP="005E212D">
            <w:pPr>
              <w:pStyle w:val="TableText"/>
              <w:spacing w:before="20" w:after="40" w:line="260" w:lineRule="exact"/>
            </w:pPr>
          </w:p>
        </w:tc>
        <w:tc>
          <w:tcPr>
            <w:tcW w:w="1814" w:type="dxa"/>
          </w:tcPr>
          <w:p w14:paraId="57E2EE73" w14:textId="77777777" w:rsidR="00636820" w:rsidRPr="009911C3" w:rsidRDefault="00636820" w:rsidP="005E212D">
            <w:pPr>
              <w:pStyle w:val="TableText"/>
              <w:spacing w:before="20" w:after="40" w:line="260" w:lineRule="exact"/>
            </w:pPr>
          </w:p>
        </w:tc>
        <w:tc>
          <w:tcPr>
            <w:tcW w:w="1815" w:type="dxa"/>
          </w:tcPr>
          <w:p w14:paraId="37E2A624" w14:textId="77777777" w:rsidR="00636820" w:rsidRPr="009911C3" w:rsidRDefault="00636820" w:rsidP="005E212D">
            <w:pPr>
              <w:pStyle w:val="TableText"/>
              <w:spacing w:before="20" w:after="40" w:line="260" w:lineRule="exact"/>
            </w:pPr>
          </w:p>
        </w:tc>
      </w:tr>
      <w:tr w:rsidR="00756659" w:rsidRPr="00CC1667" w14:paraId="2F8EEC0A" w14:textId="77777777" w:rsidTr="007A4FCF">
        <w:tc>
          <w:tcPr>
            <w:tcW w:w="2098" w:type="dxa"/>
            <w:shd w:val="clear" w:color="auto" w:fill="DEEAF5"/>
          </w:tcPr>
          <w:p w14:paraId="36083F39" w14:textId="77777777" w:rsidR="00756659" w:rsidRDefault="001A6588" w:rsidP="005E212D">
            <w:pPr>
              <w:spacing w:before="20" w:after="40" w:line="260" w:lineRule="exact"/>
              <w:rPr>
                <w:sz w:val="20"/>
              </w:rPr>
            </w:pPr>
            <w:r>
              <w:rPr>
                <w:sz w:val="20"/>
              </w:rPr>
              <w:t>Net PV</w:t>
            </w:r>
          </w:p>
        </w:tc>
        <w:tc>
          <w:tcPr>
            <w:tcW w:w="1814" w:type="dxa"/>
          </w:tcPr>
          <w:p w14:paraId="756E4D76" w14:textId="77777777" w:rsidR="00756659" w:rsidRPr="009911C3" w:rsidRDefault="00756659" w:rsidP="005E212D">
            <w:pPr>
              <w:pStyle w:val="TableText"/>
              <w:spacing w:before="20" w:after="40" w:line="260" w:lineRule="exact"/>
            </w:pPr>
          </w:p>
        </w:tc>
        <w:tc>
          <w:tcPr>
            <w:tcW w:w="1815" w:type="dxa"/>
          </w:tcPr>
          <w:p w14:paraId="239EAD51" w14:textId="77777777" w:rsidR="00756659" w:rsidRPr="009911C3" w:rsidRDefault="00756659" w:rsidP="005E212D">
            <w:pPr>
              <w:pStyle w:val="TableText"/>
              <w:spacing w:before="20" w:after="40" w:line="260" w:lineRule="exact"/>
            </w:pPr>
          </w:p>
        </w:tc>
        <w:tc>
          <w:tcPr>
            <w:tcW w:w="1814" w:type="dxa"/>
          </w:tcPr>
          <w:p w14:paraId="196BC33C" w14:textId="77777777" w:rsidR="00756659" w:rsidRPr="009911C3" w:rsidRDefault="00756659" w:rsidP="005E212D">
            <w:pPr>
              <w:pStyle w:val="TableText"/>
              <w:spacing w:before="20" w:after="40" w:line="260" w:lineRule="exact"/>
            </w:pPr>
          </w:p>
        </w:tc>
        <w:tc>
          <w:tcPr>
            <w:tcW w:w="1815" w:type="dxa"/>
          </w:tcPr>
          <w:p w14:paraId="562DA139" w14:textId="77777777" w:rsidR="00756659" w:rsidRPr="009911C3" w:rsidRDefault="00756659" w:rsidP="005E212D">
            <w:pPr>
              <w:pStyle w:val="TableText"/>
              <w:spacing w:before="20" w:after="40" w:line="260" w:lineRule="exact"/>
            </w:pPr>
          </w:p>
        </w:tc>
      </w:tr>
      <w:tr w:rsidR="00756659" w:rsidRPr="00CC1667" w14:paraId="7B7DE87C" w14:textId="77777777" w:rsidTr="007A4FCF">
        <w:tc>
          <w:tcPr>
            <w:tcW w:w="9356" w:type="dxa"/>
            <w:gridSpan w:val="5"/>
            <w:shd w:val="clear" w:color="auto" w:fill="DEEAF5"/>
          </w:tcPr>
          <w:p w14:paraId="1901F76E" w14:textId="77777777" w:rsidR="00756659" w:rsidRPr="009911C3" w:rsidRDefault="00756659" w:rsidP="005E212D">
            <w:pPr>
              <w:pStyle w:val="TableText"/>
              <w:spacing w:before="20" w:after="40" w:line="260" w:lineRule="exact"/>
            </w:pPr>
            <w:r>
              <w:t>Multi-criteria analysis of non-monetary benefits:</w:t>
            </w:r>
          </w:p>
        </w:tc>
      </w:tr>
      <w:tr w:rsidR="00756659" w:rsidRPr="00CC1667" w14:paraId="15AE692C" w14:textId="77777777" w:rsidTr="007A4FCF">
        <w:tc>
          <w:tcPr>
            <w:tcW w:w="2098" w:type="dxa"/>
            <w:shd w:val="clear" w:color="auto" w:fill="DEEAF5"/>
          </w:tcPr>
          <w:p w14:paraId="284CDFB9" w14:textId="77777777" w:rsidR="00756659" w:rsidRDefault="00756659" w:rsidP="005E212D">
            <w:pPr>
              <w:spacing w:before="20" w:after="40" w:line="260" w:lineRule="exact"/>
              <w:rPr>
                <w:sz w:val="20"/>
              </w:rPr>
            </w:pPr>
            <w:r>
              <w:rPr>
                <w:sz w:val="20"/>
              </w:rPr>
              <w:t>Benefit criteria 1</w:t>
            </w:r>
          </w:p>
        </w:tc>
        <w:tc>
          <w:tcPr>
            <w:tcW w:w="1814" w:type="dxa"/>
          </w:tcPr>
          <w:p w14:paraId="282F8DA8" w14:textId="77777777" w:rsidR="00756659" w:rsidRPr="009911C3" w:rsidRDefault="00756659" w:rsidP="005E212D">
            <w:pPr>
              <w:pStyle w:val="TableText"/>
              <w:spacing w:before="20" w:after="40" w:line="260" w:lineRule="exact"/>
            </w:pPr>
          </w:p>
        </w:tc>
        <w:tc>
          <w:tcPr>
            <w:tcW w:w="1815" w:type="dxa"/>
          </w:tcPr>
          <w:p w14:paraId="435A2A84" w14:textId="77777777" w:rsidR="00756659" w:rsidRPr="009911C3" w:rsidRDefault="00756659" w:rsidP="005E212D">
            <w:pPr>
              <w:pStyle w:val="TableText"/>
              <w:spacing w:before="20" w:after="40" w:line="260" w:lineRule="exact"/>
            </w:pPr>
          </w:p>
        </w:tc>
        <w:tc>
          <w:tcPr>
            <w:tcW w:w="1814" w:type="dxa"/>
          </w:tcPr>
          <w:p w14:paraId="751DE48A" w14:textId="77777777" w:rsidR="00756659" w:rsidRPr="009911C3" w:rsidRDefault="00756659" w:rsidP="005E212D">
            <w:pPr>
              <w:pStyle w:val="TableText"/>
              <w:spacing w:before="20" w:after="40" w:line="260" w:lineRule="exact"/>
            </w:pPr>
          </w:p>
        </w:tc>
        <w:tc>
          <w:tcPr>
            <w:tcW w:w="1815" w:type="dxa"/>
          </w:tcPr>
          <w:p w14:paraId="16D57321" w14:textId="77777777" w:rsidR="00756659" w:rsidRPr="009911C3" w:rsidRDefault="00756659" w:rsidP="005E212D">
            <w:pPr>
              <w:pStyle w:val="TableText"/>
              <w:spacing w:before="20" w:after="40" w:line="260" w:lineRule="exact"/>
            </w:pPr>
          </w:p>
        </w:tc>
      </w:tr>
      <w:tr w:rsidR="00756659" w:rsidRPr="00CC1667" w14:paraId="084128F2" w14:textId="77777777" w:rsidTr="007A4FCF">
        <w:tc>
          <w:tcPr>
            <w:tcW w:w="2098" w:type="dxa"/>
            <w:shd w:val="clear" w:color="auto" w:fill="DEEAF5"/>
          </w:tcPr>
          <w:p w14:paraId="5F056897" w14:textId="77777777" w:rsidR="00756659" w:rsidRDefault="00756659" w:rsidP="005E212D">
            <w:pPr>
              <w:spacing w:before="20" w:after="40" w:line="260" w:lineRule="exact"/>
            </w:pPr>
            <w:r>
              <w:rPr>
                <w:sz w:val="20"/>
              </w:rPr>
              <w:t>Benefit criteria 2</w:t>
            </w:r>
          </w:p>
        </w:tc>
        <w:tc>
          <w:tcPr>
            <w:tcW w:w="1814" w:type="dxa"/>
          </w:tcPr>
          <w:p w14:paraId="6D8A5E1E" w14:textId="77777777" w:rsidR="00756659" w:rsidRPr="009911C3" w:rsidRDefault="00756659" w:rsidP="005E212D">
            <w:pPr>
              <w:pStyle w:val="TableText"/>
              <w:spacing w:before="20" w:after="40" w:line="260" w:lineRule="exact"/>
            </w:pPr>
          </w:p>
        </w:tc>
        <w:tc>
          <w:tcPr>
            <w:tcW w:w="1815" w:type="dxa"/>
          </w:tcPr>
          <w:p w14:paraId="70498900" w14:textId="77777777" w:rsidR="00756659" w:rsidRPr="009911C3" w:rsidRDefault="00756659" w:rsidP="005E212D">
            <w:pPr>
              <w:pStyle w:val="TableText"/>
              <w:spacing w:before="20" w:after="40" w:line="260" w:lineRule="exact"/>
            </w:pPr>
          </w:p>
        </w:tc>
        <w:tc>
          <w:tcPr>
            <w:tcW w:w="1814" w:type="dxa"/>
          </w:tcPr>
          <w:p w14:paraId="5019B89D" w14:textId="77777777" w:rsidR="00756659" w:rsidRPr="009911C3" w:rsidRDefault="00756659" w:rsidP="005E212D">
            <w:pPr>
              <w:pStyle w:val="TableText"/>
              <w:spacing w:before="20" w:after="40" w:line="260" w:lineRule="exact"/>
            </w:pPr>
          </w:p>
        </w:tc>
        <w:tc>
          <w:tcPr>
            <w:tcW w:w="1815" w:type="dxa"/>
          </w:tcPr>
          <w:p w14:paraId="05CC435E" w14:textId="77777777" w:rsidR="00756659" w:rsidRPr="009911C3" w:rsidRDefault="00756659" w:rsidP="005E212D">
            <w:pPr>
              <w:pStyle w:val="TableText"/>
              <w:spacing w:before="20" w:after="40" w:line="260" w:lineRule="exact"/>
            </w:pPr>
          </w:p>
        </w:tc>
      </w:tr>
      <w:tr w:rsidR="00756659" w:rsidRPr="00CC1667" w14:paraId="35D08904" w14:textId="77777777" w:rsidTr="007A4FCF">
        <w:tc>
          <w:tcPr>
            <w:tcW w:w="2098" w:type="dxa"/>
            <w:shd w:val="clear" w:color="auto" w:fill="DEEAF5"/>
          </w:tcPr>
          <w:p w14:paraId="46CC7D71" w14:textId="77777777" w:rsidR="00756659" w:rsidRDefault="00756659" w:rsidP="005E212D">
            <w:pPr>
              <w:spacing w:before="20" w:after="40" w:line="260" w:lineRule="exact"/>
            </w:pPr>
            <w:r>
              <w:rPr>
                <w:sz w:val="20"/>
              </w:rPr>
              <w:t>Benefit criteria 3</w:t>
            </w:r>
          </w:p>
        </w:tc>
        <w:tc>
          <w:tcPr>
            <w:tcW w:w="1814" w:type="dxa"/>
          </w:tcPr>
          <w:p w14:paraId="2DF5345D" w14:textId="77777777" w:rsidR="00756659" w:rsidRPr="009911C3" w:rsidRDefault="00756659" w:rsidP="005E212D">
            <w:pPr>
              <w:pStyle w:val="TableText"/>
              <w:spacing w:before="20" w:after="40" w:line="260" w:lineRule="exact"/>
            </w:pPr>
          </w:p>
        </w:tc>
        <w:tc>
          <w:tcPr>
            <w:tcW w:w="1815" w:type="dxa"/>
          </w:tcPr>
          <w:p w14:paraId="32E6A53C" w14:textId="77777777" w:rsidR="00756659" w:rsidRPr="009911C3" w:rsidRDefault="00756659" w:rsidP="005E212D">
            <w:pPr>
              <w:pStyle w:val="TableText"/>
              <w:spacing w:before="20" w:after="40" w:line="260" w:lineRule="exact"/>
            </w:pPr>
          </w:p>
        </w:tc>
        <w:tc>
          <w:tcPr>
            <w:tcW w:w="1814" w:type="dxa"/>
          </w:tcPr>
          <w:p w14:paraId="555DB348" w14:textId="77777777" w:rsidR="00756659" w:rsidRPr="009911C3" w:rsidRDefault="00756659" w:rsidP="005E212D">
            <w:pPr>
              <w:pStyle w:val="TableText"/>
              <w:spacing w:before="20" w:after="40" w:line="260" w:lineRule="exact"/>
            </w:pPr>
          </w:p>
        </w:tc>
        <w:tc>
          <w:tcPr>
            <w:tcW w:w="1815" w:type="dxa"/>
          </w:tcPr>
          <w:p w14:paraId="06B3ABC0" w14:textId="77777777" w:rsidR="00756659" w:rsidRPr="009911C3" w:rsidRDefault="00756659" w:rsidP="005E212D">
            <w:pPr>
              <w:pStyle w:val="TableText"/>
              <w:spacing w:before="20" w:after="40" w:line="260" w:lineRule="exact"/>
            </w:pPr>
          </w:p>
        </w:tc>
      </w:tr>
      <w:tr w:rsidR="00756659" w:rsidRPr="00CC1667" w14:paraId="1D8EA68F" w14:textId="77777777" w:rsidTr="007A4FCF">
        <w:tc>
          <w:tcPr>
            <w:tcW w:w="2098" w:type="dxa"/>
            <w:shd w:val="clear" w:color="auto" w:fill="DEEAF5"/>
          </w:tcPr>
          <w:p w14:paraId="1C2534FF" w14:textId="77777777" w:rsidR="00756659" w:rsidRPr="008B072E" w:rsidRDefault="00756659" w:rsidP="005E212D">
            <w:pPr>
              <w:spacing w:before="20" w:after="40" w:line="260" w:lineRule="exact"/>
              <w:rPr>
                <w:b/>
              </w:rPr>
            </w:pPr>
            <w:r w:rsidRPr="008B072E">
              <w:rPr>
                <w:b/>
                <w:sz w:val="20"/>
              </w:rPr>
              <w:t>Preferred option</w:t>
            </w:r>
          </w:p>
        </w:tc>
        <w:tc>
          <w:tcPr>
            <w:tcW w:w="1814" w:type="dxa"/>
          </w:tcPr>
          <w:p w14:paraId="5A6EEC9B" w14:textId="77777777" w:rsidR="00756659" w:rsidRPr="009911C3" w:rsidRDefault="00756659" w:rsidP="005E212D">
            <w:pPr>
              <w:pStyle w:val="TableText"/>
              <w:spacing w:before="20" w:after="40" w:line="260" w:lineRule="exact"/>
            </w:pPr>
          </w:p>
        </w:tc>
        <w:tc>
          <w:tcPr>
            <w:tcW w:w="1815" w:type="dxa"/>
          </w:tcPr>
          <w:p w14:paraId="6C77EB92" w14:textId="77777777" w:rsidR="00756659" w:rsidRPr="009911C3" w:rsidRDefault="00756659" w:rsidP="005E212D">
            <w:pPr>
              <w:pStyle w:val="TableText"/>
              <w:spacing w:before="20" w:after="40" w:line="260" w:lineRule="exact"/>
            </w:pPr>
          </w:p>
        </w:tc>
        <w:tc>
          <w:tcPr>
            <w:tcW w:w="1814" w:type="dxa"/>
          </w:tcPr>
          <w:p w14:paraId="4F952425" w14:textId="77777777" w:rsidR="00756659" w:rsidRPr="009911C3" w:rsidRDefault="00756659" w:rsidP="005E212D">
            <w:pPr>
              <w:pStyle w:val="TableText"/>
              <w:spacing w:before="20" w:after="40" w:line="260" w:lineRule="exact"/>
            </w:pPr>
          </w:p>
        </w:tc>
        <w:tc>
          <w:tcPr>
            <w:tcW w:w="1815" w:type="dxa"/>
          </w:tcPr>
          <w:p w14:paraId="27986CB2" w14:textId="77777777" w:rsidR="00756659" w:rsidRPr="009911C3" w:rsidRDefault="00756659" w:rsidP="005E212D">
            <w:pPr>
              <w:pStyle w:val="TableText"/>
              <w:spacing w:before="20" w:after="40" w:line="260" w:lineRule="exact"/>
            </w:pPr>
          </w:p>
        </w:tc>
      </w:tr>
    </w:tbl>
    <w:p w14:paraId="049870C7" w14:textId="22E82684" w:rsidR="006F10B0" w:rsidRDefault="00B37357" w:rsidP="005F2E69">
      <w:pPr>
        <w:spacing w:before="60" w:line="240" w:lineRule="auto"/>
        <w:rPr>
          <w:sz w:val="18"/>
        </w:rPr>
      </w:pPr>
      <w:r w:rsidRPr="005F2E69">
        <w:rPr>
          <w:b/>
          <w:sz w:val="18"/>
        </w:rPr>
        <w:t>Notes</w:t>
      </w:r>
      <w:r>
        <w:rPr>
          <w:sz w:val="18"/>
        </w:rPr>
        <w:t>: *</w:t>
      </w:r>
      <w:proofErr w:type="spellStart"/>
      <w:r>
        <w:rPr>
          <w:sz w:val="18"/>
        </w:rPr>
        <w:t>Wo</w:t>
      </w:r>
      <w:r w:rsidR="00756659" w:rsidRPr="00756659">
        <w:rPr>
          <w:sz w:val="18"/>
        </w:rPr>
        <w:t>L</w:t>
      </w:r>
      <w:proofErr w:type="spellEnd"/>
      <w:r w:rsidR="00186661">
        <w:rPr>
          <w:sz w:val="18"/>
        </w:rPr>
        <w:t xml:space="preserve"> costs </w:t>
      </w:r>
      <w:r w:rsidR="00756659" w:rsidRPr="00756659">
        <w:rPr>
          <w:sz w:val="18"/>
        </w:rPr>
        <w:t>=</w:t>
      </w:r>
      <w:r w:rsidR="00186661">
        <w:rPr>
          <w:sz w:val="18"/>
        </w:rPr>
        <w:t xml:space="preserve"> </w:t>
      </w:r>
      <w:r w:rsidR="00756659" w:rsidRPr="00756659">
        <w:rPr>
          <w:sz w:val="18"/>
        </w:rPr>
        <w:t>Present v</w:t>
      </w:r>
      <w:r w:rsidR="007A1AB0">
        <w:rPr>
          <w:sz w:val="18"/>
        </w:rPr>
        <w:t>alue of w</w:t>
      </w:r>
      <w:r w:rsidR="00756659" w:rsidRPr="00756659">
        <w:rPr>
          <w:sz w:val="18"/>
        </w:rPr>
        <w:t>hole-of-life costs</w:t>
      </w:r>
      <w:r w:rsidR="00186661">
        <w:rPr>
          <w:sz w:val="18"/>
        </w:rPr>
        <w:t xml:space="preserve"> (over the lifespan)</w:t>
      </w:r>
      <w:r w:rsidR="00756659">
        <w:rPr>
          <w:sz w:val="18"/>
        </w:rPr>
        <w:t>. ^</w:t>
      </w:r>
      <w:proofErr w:type="spellStart"/>
      <w:r w:rsidR="00186661">
        <w:rPr>
          <w:sz w:val="18"/>
        </w:rPr>
        <w:t>WoL</w:t>
      </w:r>
      <w:proofErr w:type="spellEnd"/>
      <w:r w:rsidR="00D114F6">
        <w:rPr>
          <w:sz w:val="18"/>
        </w:rPr>
        <w:t xml:space="preserve"> </w:t>
      </w:r>
      <w:r w:rsidR="001A6588">
        <w:rPr>
          <w:sz w:val="18"/>
        </w:rPr>
        <w:t xml:space="preserve">benefits = Present value of </w:t>
      </w:r>
      <w:r w:rsidR="007A1AB0">
        <w:rPr>
          <w:sz w:val="18"/>
        </w:rPr>
        <w:t>w</w:t>
      </w:r>
      <w:r w:rsidR="005F2E69">
        <w:rPr>
          <w:sz w:val="18"/>
        </w:rPr>
        <w:t xml:space="preserve">hole </w:t>
      </w:r>
      <w:r w:rsidR="007A1AB0" w:rsidRPr="00756659">
        <w:rPr>
          <w:sz w:val="18"/>
        </w:rPr>
        <w:t>of-life</w:t>
      </w:r>
      <w:r w:rsidR="007A1AB0">
        <w:rPr>
          <w:sz w:val="18"/>
        </w:rPr>
        <w:t xml:space="preserve"> </w:t>
      </w:r>
      <w:r w:rsidR="00AC1476">
        <w:rPr>
          <w:sz w:val="18"/>
        </w:rPr>
        <w:t>monetary benefits.</w:t>
      </w:r>
    </w:p>
    <w:p w14:paraId="3418D9CA" w14:textId="2E39A262" w:rsidR="008A7481" w:rsidRPr="008A7481" w:rsidRDefault="008A7481" w:rsidP="003D5AF3">
      <w:pPr>
        <w:spacing w:line="260" w:lineRule="atLeast"/>
      </w:pPr>
      <w:r w:rsidRPr="008A7481">
        <w:t xml:space="preserve">The </w:t>
      </w:r>
      <w:r w:rsidR="00551C98">
        <w:t xml:space="preserve">full </w:t>
      </w:r>
      <w:r w:rsidRPr="008A7481">
        <w:t xml:space="preserve">updated Economic Analysis is attached as </w:t>
      </w:r>
      <w:hyperlink w:anchor="_Annex_3:_Updated" w:history="1">
        <w:r w:rsidRPr="00551C98">
          <w:rPr>
            <w:rStyle w:val="Hyperlink"/>
          </w:rPr>
          <w:t xml:space="preserve">Annex </w:t>
        </w:r>
        <w:r w:rsidR="00551C98" w:rsidRPr="00551C98">
          <w:rPr>
            <w:rStyle w:val="Hyperlink"/>
          </w:rPr>
          <w:t>3</w:t>
        </w:r>
      </w:hyperlink>
      <w:r w:rsidRPr="00551C98">
        <w:t>.</w:t>
      </w:r>
    </w:p>
    <w:p w14:paraId="4B1EF147" w14:textId="77777777" w:rsidR="00092A42" w:rsidRPr="00CA64A6" w:rsidRDefault="00092A42" w:rsidP="006E4FDB">
      <w:pPr>
        <w:pStyle w:val="Heading3"/>
      </w:pPr>
      <w:r>
        <w:t xml:space="preserve">The </w:t>
      </w:r>
      <w:r w:rsidRPr="00CA64A6">
        <w:t>Benefits</w:t>
      </w:r>
    </w:p>
    <w:p w14:paraId="7D1AFFC4" w14:textId="18E24693" w:rsidR="00092A42" w:rsidRPr="00FD4358" w:rsidRDefault="00092A42"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The project </w:t>
      </w:r>
      <w:r w:rsidR="003D5AF3">
        <w:rPr>
          <w:rStyle w:val="Emphasis"/>
        </w:rPr>
        <w:t xml:space="preserve">by </w:t>
      </w:r>
      <w:r>
        <w:rPr>
          <w:rStyle w:val="Emphasis"/>
        </w:rPr>
        <w:t>should now have a very clear</w:t>
      </w:r>
      <w:r w:rsidRPr="00FD4358">
        <w:rPr>
          <w:rStyle w:val="Emphasis"/>
        </w:rPr>
        <w:t xml:space="preserve"> understanding of the benefits. Having a </w:t>
      </w:r>
      <w:r w:rsidR="003D5AF3">
        <w:rPr>
          <w:rStyle w:val="Emphasis"/>
        </w:rPr>
        <w:t xml:space="preserve">selected </w:t>
      </w:r>
      <w:r w:rsidRPr="00FD4358">
        <w:rPr>
          <w:rStyle w:val="Emphasis"/>
        </w:rPr>
        <w:t xml:space="preserve">solution and an implementation plan, the last assumptions on benefits </w:t>
      </w:r>
      <w:r>
        <w:rPr>
          <w:rStyle w:val="Emphasis"/>
        </w:rPr>
        <w:t>can be assessed and impacts confirmed.</w:t>
      </w:r>
      <w:r w:rsidRPr="00FD4358">
        <w:rPr>
          <w:rStyle w:val="Emphasis"/>
        </w:rPr>
        <w:t xml:space="preserve"> Th</w:t>
      </w:r>
      <w:r>
        <w:rPr>
          <w:rStyle w:val="Emphasis"/>
        </w:rPr>
        <w:t xml:space="preserve">e </w:t>
      </w:r>
      <w:proofErr w:type="spellStart"/>
      <w:r>
        <w:rPr>
          <w:rStyle w:val="Emphasis"/>
        </w:rPr>
        <w:t>ImBC</w:t>
      </w:r>
      <w:proofErr w:type="spellEnd"/>
      <w:r w:rsidRPr="00FD4358">
        <w:rPr>
          <w:rStyle w:val="Emphasis"/>
        </w:rPr>
        <w:t xml:space="preserve"> is the last </w:t>
      </w:r>
      <w:r>
        <w:rPr>
          <w:rStyle w:val="Emphasis"/>
        </w:rPr>
        <w:t>off-ramp for the investment decision, so the agency must be</w:t>
      </w:r>
      <w:r w:rsidRPr="00FD4358">
        <w:rPr>
          <w:rStyle w:val="Emphasis"/>
        </w:rPr>
        <w:t xml:space="preserve"> sure of the total value and have that information ready for the investor.</w:t>
      </w:r>
    </w:p>
    <w:p w14:paraId="0FD2ED47" w14:textId="386741E2" w:rsidR="00092A42" w:rsidRDefault="004567B8"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Include and update (from the SSBC/DBC) the list of </w:t>
      </w:r>
      <w:r w:rsidR="00092A42" w:rsidRPr="0040583D">
        <w:rPr>
          <w:rStyle w:val="Emphasis"/>
        </w:rPr>
        <w:t xml:space="preserve">significant benefits </w:t>
      </w:r>
      <w:r w:rsidR="00092A42">
        <w:rPr>
          <w:rStyle w:val="Emphasis"/>
        </w:rPr>
        <w:t>for the Preferred Option</w:t>
      </w:r>
      <w:r>
        <w:rPr>
          <w:rStyle w:val="Emphasis"/>
        </w:rPr>
        <w:t>,</w:t>
      </w:r>
      <w:r w:rsidR="00092A42">
        <w:rPr>
          <w:rStyle w:val="Emphasis"/>
        </w:rPr>
        <w:t xml:space="preserve"> with reference to the Wellbeing Domains </w:t>
      </w:r>
      <w:r w:rsidR="00092A42" w:rsidRPr="007352D0">
        <w:rPr>
          <w:rStyle w:val="Emphasis"/>
        </w:rPr>
        <w:t xml:space="preserve">of the NZ Living Standards </w:t>
      </w:r>
      <w:r w:rsidR="00092A42" w:rsidRPr="00993F59">
        <w:rPr>
          <w:rStyle w:val="Emphasis"/>
        </w:rPr>
        <w:t>Framework</w:t>
      </w:r>
      <w:r w:rsidR="00092A42" w:rsidRPr="00993F59">
        <w:rPr>
          <w:rStyle w:val="FootnoteReference"/>
          <w:i/>
          <w:iCs/>
          <w:sz w:val="20"/>
          <w:vertAlign w:val="superscript"/>
        </w:rPr>
        <w:footnoteReference w:id="4"/>
      </w:r>
      <w:r w:rsidR="00092A42" w:rsidRPr="00993F59">
        <w:rPr>
          <w:rStyle w:val="Emphasis"/>
        </w:rPr>
        <w:t xml:space="preserve"> and</w:t>
      </w:r>
      <w:r w:rsidR="00092A42">
        <w:rPr>
          <w:rStyle w:val="Emphasis"/>
        </w:rPr>
        <w:t xml:space="preserve"> the government’s </w:t>
      </w:r>
      <w:r>
        <w:rPr>
          <w:rStyle w:val="Emphasis"/>
        </w:rPr>
        <w:t xml:space="preserve">Broader Procurement </w:t>
      </w:r>
      <w:r w:rsidR="00092A42" w:rsidRPr="00993F59">
        <w:rPr>
          <w:rStyle w:val="Emphasis"/>
        </w:rPr>
        <w:t>Outcomes</w:t>
      </w:r>
      <w:r w:rsidR="00092A42" w:rsidRPr="00993F59">
        <w:rPr>
          <w:rStyle w:val="FootnoteReference"/>
          <w:color w:val="1F4E79"/>
          <w:sz w:val="20"/>
          <w:vertAlign w:val="superscript"/>
        </w:rPr>
        <w:footnoteReference w:id="5"/>
      </w:r>
      <w:r w:rsidR="00092A42" w:rsidRPr="00993F59">
        <w:rPr>
          <w:rStyle w:val="Emphasis"/>
        </w:rPr>
        <w:t>.  Thi</w:t>
      </w:r>
      <w:r w:rsidR="00092A42" w:rsidRPr="0040583D">
        <w:rPr>
          <w:rStyle w:val="Emphasis"/>
        </w:rPr>
        <w:t xml:space="preserve">s recognises the wider perspectives of public value </w:t>
      </w:r>
      <w:r w:rsidR="00092A42">
        <w:rPr>
          <w:rStyle w:val="Emphasis"/>
        </w:rPr>
        <w:t xml:space="preserve">and service resilience for </w:t>
      </w:r>
      <w:r w:rsidR="00092A42" w:rsidRPr="0040583D">
        <w:rPr>
          <w:rStyle w:val="Emphasis"/>
        </w:rPr>
        <w:t>decision-makers when making resource allocation choices.</w:t>
      </w:r>
      <w:r w:rsidR="00092A42">
        <w:rPr>
          <w:rStyle w:val="Emphasis"/>
        </w:rPr>
        <w:t xml:space="preserve">  Benefits should </w:t>
      </w:r>
      <w:r>
        <w:rPr>
          <w:rStyle w:val="Emphasis"/>
        </w:rPr>
        <w:t xml:space="preserve">also </w:t>
      </w:r>
      <w:r w:rsidR="00092A42">
        <w:rPr>
          <w:rStyle w:val="Emphasis"/>
        </w:rPr>
        <w:t xml:space="preserve">reflect any requirements from any related Regulatory Impact Assessment (RIA) and Climate Implications of Policy Assessment (CIPA). </w:t>
      </w:r>
    </w:p>
    <w:p w14:paraId="29E58600" w14:textId="03BEEB11" w:rsidR="00092A42" w:rsidRPr="007A4FCF" w:rsidRDefault="00C72520" w:rsidP="003D5AF3">
      <w:pPr>
        <w:spacing w:line="260" w:lineRule="atLeast"/>
        <w:rPr>
          <w:color w:val="0000FF"/>
          <w:szCs w:val="22"/>
        </w:rPr>
      </w:pPr>
      <w:r w:rsidRPr="007A4FCF">
        <w:rPr>
          <w:szCs w:val="22"/>
          <w:highlight w:val="yellow"/>
        </w:rPr>
        <w:t xml:space="preserve">At a facilitated workshop on </w:t>
      </w:r>
      <w:r w:rsidRPr="007A4FCF">
        <w:rPr>
          <w:i/>
          <w:iCs/>
          <w:szCs w:val="22"/>
          <w:highlight w:val="yellow"/>
        </w:rPr>
        <w:t>(</w:t>
      </w:r>
      <w:r w:rsidRPr="007A4FCF">
        <w:rPr>
          <w:i/>
          <w:iCs/>
          <w:color w:val="0000FF"/>
          <w:szCs w:val="22"/>
          <w:highlight w:val="yellow"/>
        </w:rPr>
        <w:t>date</w:t>
      </w:r>
      <w:r w:rsidRPr="007A4FCF">
        <w:rPr>
          <w:i/>
          <w:iCs/>
          <w:szCs w:val="22"/>
          <w:highlight w:val="yellow"/>
        </w:rPr>
        <w:t>)</w:t>
      </w:r>
      <w:r w:rsidRPr="007A4FCF">
        <w:rPr>
          <w:szCs w:val="22"/>
          <w:highlight w:val="yellow"/>
        </w:rPr>
        <w:t xml:space="preserve"> key stakeholders </w:t>
      </w:r>
      <w:r w:rsidRPr="007A4FCF">
        <w:rPr>
          <w:i/>
          <w:iCs/>
          <w:color w:val="0000FF"/>
          <w:szCs w:val="22"/>
          <w:highlight w:val="yellow"/>
        </w:rPr>
        <w:t>(list)</w:t>
      </w:r>
      <w:r w:rsidRPr="007A4FCF">
        <w:rPr>
          <w:szCs w:val="22"/>
          <w:highlight w:val="yellow"/>
        </w:rPr>
        <w:t xml:space="preserve"> </w:t>
      </w:r>
      <w:r w:rsidR="00092A42" w:rsidRPr="007A4FCF">
        <w:rPr>
          <w:szCs w:val="22"/>
          <w:highlight w:val="yellow"/>
        </w:rPr>
        <w:t xml:space="preserve">reassessed the </w:t>
      </w:r>
      <w:r w:rsidR="00092A42" w:rsidRPr="007A4FCF">
        <w:rPr>
          <w:rStyle w:val="Emphasis"/>
          <w:i w:val="0"/>
          <w:sz w:val="22"/>
          <w:szCs w:val="22"/>
          <w:highlight w:val="yellow"/>
        </w:rPr>
        <w:t xml:space="preserve">Benefits for the Preferred Option </w:t>
      </w:r>
      <w:r w:rsidR="00092A42" w:rsidRPr="007A4FCF">
        <w:rPr>
          <w:szCs w:val="22"/>
          <w:highlight w:val="yellow"/>
        </w:rPr>
        <w:t>as set out in the previous business case and confirms that the monetary and non-monetary Benefits remain unchanged</w:t>
      </w:r>
      <w:r w:rsidR="00092A42" w:rsidRPr="007A4FCF">
        <w:rPr>
          <w:i/>
          <w:color w:val="0000FF"/>
          <w:szCs w:val="22"/>
          <w:highlight w:val="yellow"/>
        </w:rPr>
        <w:t>.</w:t>
      </w:r>
      <w:r w:rsidR="00092A42" w:rsidRPr="007A4FCF">
        <w:rPr>
          <w:color w:val="0000FF"/>
          <w:szCs w:val="22"/>
        </w:rPr>
        <w:t xml:space="preserve"> </w:t>
      </w:r>
    </w:p>
    <w:p w14:paraId="6552733B" w14:textId="77777777" w:rsidR="00092A42" w:rsidRPr="007A4FCF" w:rsidRDefault="00092A42" w:rsidP="003D5AF3">
      <w:pPr>
        <w:spacing w:line="260" w:lineRule="atLeast"/>
        <w:rPr>
          <w:i/>
          <w:color w:val="0000FF"/>
          <w:szCs w:val="22"/>
        </w:rPr>
      </w:pPr>
      <w:r w:rsidRPr="007A4FCF">
        <w:rPr>
          <w:i/>
          <w:color w:val="0000FF"/>
          <w:szCs w:val="22"/>
        </w:rPr>
        <w:lastRenderedPageBreak/>
        <w:t xml:space="preserve">- OR - </w:t>
      </w:r>
    </w:p>
    <w:p w14:paraId="271B9858" w14:textId="55A9D333" w:rsidR="00092A42" w:rsidRPr="007A4FCF" w:rsidRDefault="00C72520" w:rsidP="003D5AF3">
      <w:pPr>
        <w:spacing w:line="260" w:lineRule="atLeast"/>
        <w:rPr>
          <w:szCs w:val="22"/>
          <w:highlight w:val="yellow"/>
        </w:rPr>
      </w:pPr>
      <w:r w:rsidRPr="007A4FCF">
        <w:rPr>
          <w:szCs w:val="22"/>
          <w:highlight w:val="yellow"/>
        </w:rPr>
        <w:t xml:space="preserve">At a facilitated workshop on </w:t>
      </w:r>
      <w:r w:rsidRPr="007A4FCF">
        <w:rPr>
          <w:i/>
          <w:iCs/>
          <w:szCs w:val="22"/>
          <w:highlight w:val="yellow"/>
        </w:rPr>
        <w:t>(</w:t>
      </w:r>
      <w:r w:rsidRPr="007A4FCF">
        <w:rPr>
          <w:i/>
          <w:iCs/>
          <w:color w:val="0000FF"/>
          <w:szCs w:val="22"/>
          <w:highlight w:val="yellow"/>
        </w:rPr>
        <w:t>date</w:t>
      </w:r>
      <w:r w:rsidRPr="007A4FCF">
        <w:rPr>
          <w:i/>
          <w:iCs/>
          <w:szCs w:val="22"/>
          <w:highlight w:val="yellow"/>
        </w:rPr>
        <w:t>)</w:t>
      </w:r>
      <w:r w:rsidRPr="007A4FCF">
        <w:rPr>
          <w:szCs w:val="22"/>
          <w:highlight w:val="yellow"/>
        </w:rPr>
        <w:t xml:space="preserve"> key stakeholders </w:t>
      </w:r>
      <w:r w:rsidRPr="007A4FCF">
        <w:rPr>
          <w:i/>
          <w:iCs/>
          <w:color w:val="0000FF"/>
          <w:szCs w:val="22"/>
          <w:highlight w:val="yellow"/>
        </w:rPr>
        <w:t>(list)</w:t>
      </w:r>
      <w:r w:rsidRPr="007A4FCF">
        <w:rPr>
          <w:szCs w:val="22"/>
          <w:highlight w:val="yellow"/>
        </w:rPr>
        <w:t xml:space="preserve"> </w:t>
      </w:r>
      <w:r w:rsidR="00092A42" w:rsidRPr="007A4FCF">
        <w:rPr>
          <w:szCs w:val="22"/>
          <w:highlight w:val="yellow"/>
        </w:rPr>
        <w:t>reassessed the Benefits for the Preferred Option as set out in the previous business case</w:t>
      </w:r>
      <w:r w:rsidRPr="007A4FCF">
        <w:rPr>
          <w:szCs w:val="22"/>
          <w:highlight w:val="yellow"/>
        </w:rPr>
        <w:t xml:space="preserve"> (OR the updated Preferred Option as identified in this document)</w:t>
      </w:r>
      <w:r w:rsidR="00092A42" w:rsidRPr="007A4FCF">
        <w:rPr>
          <w:szCs w:val="22"/>
          <w:highlight w:val="yellow"/>
        </w:rPr>
        <w:t xml:space="preserve"> and has identified the following changes that must be carried forward into this analysis</w:t>
      </w:r>
      <w:r w:rsidR="00551C98" w:rsidRPr="007A4FCF">
        <w:rPr>
          <w:szCs w:val="22"/>
          <w:highlight w:val="yellow"/>
        </w:rPr>
        <w:t xml:space="preserve">. The impact of these changes has been included in the updated Economic Analysis in </w:t>
      </w:r>
      <w:hyperlink w:anchor="_Annex_3:_Updated" w:history="1">
        <w:r w:rsidR="00551C98" w:rsidRPr="007A4FCF">
          <w:rPr>
            <w:rStyle w:val="Hyperlink"/>
            <w:szCs w:val="22"/>
            <w:highlight w:val="yellow"/>
          </w:rPr>
          <w:t>Annex 3</w:t>
        </w:r>
      </w:hyperlink>
      <w:r w:rsidR="009C584B" w:rsidRPr="007A4FCF">
        <w:rPr>
          <w:rStyle w:val="Hyperlink"/>
          <w:szCs w:val="22"/>
          <w:highlight w:val="yellow"/>
        </w:rPr>
        <w:t xml:space="preserve"> </w:t>
      </w:r>
      <w:r w:rsidR="009C584B" w:rsidRPr="007A4FCF">
        <w:rPr>
          <w:rStyle w:val="Hyperlink"/>
          <w:color w:val="000000" w:themeColor="text1"/>
          <w:szCs w:val="22"/>
          <w:highlight w:val="yellow"/>
          <w:u w:val="none"/>
        </w:rPr>
        <w:t xml:space="preserve">and the Benefits Realisation Plan in </w:t>
      </w:r>
      <w:hyperlink w:anchor="_Benefits_Realisation_Plan" w:history="1">
        <w:r w:rsidR="009C584B" w:rsidRPr="007A4FCF">
          <w:rPr>
            <w:rStyle w:val="Hyperlink"/>
            <w:szCs w:val="22"/>
            <w:highlight w:val="yellow"/>
          </w:rPr>
          <w:t xml:space="preserve">Annex </w:t>
        </w:r>
        <w:r w:rsidR="002331DA" w:rsidRPr="007A4FCF">
          <w:rPr>
            <w:rStyle w:val="Hyperlink"/>
            <w:szCs w:val="22"/>
            <w:highlight w:val="yellow"/>
          </w:rPr>
          <w:t>6</w:t>
        </w:r>
      </w:hyperlink>
      <w:r w:rsidR="00092A42" w:rsidRPr="007A4FCF">
        <w:rPr>
          <w:color w:val="000000" w:themeColor="text1"/>
          <w:szCs w:val="22"/>
          <w:highlight w:val="yellow"/>
        </w:rPr>
        <w:t>:</w:t>
      </w:r>
    </w:p>
    <w:p w14:paraId="68B02FBF" w14:textId="4CCBE764" w:rsidR="00092A42" w:rsidRPr="002331DA" w:rsidRDefault="00551C98" w:rsidP="006A024A">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2331DA">
        <w:rPr>
          <w:rStyle w:val="Emphasis"/>
        </w:rPr>
        <w:t>List any significant changes to benefits previously identified (note this may include identification of new benefits</w:t>
      </w:r>
      <w:r w:rsidR="002331DA" w:rsidRPr="002331DA">
        <w:rPr>
          <w:rStyle w:val="Emphasis"/>
        </w:rPr>
        <w:t xml:space="preserve"> or </w:t>
      </w:r>
      <w:proofErr w:type="spellStart"/>
      <w:r w:rsidR="002331DA" w:rsidRPr="002331DA">
        <w:rPr>
          <w:rStyle w:val="Emphasis"/>
        </w:rPr>
        <w:t>disbenefits</w:t>
      </w:r>
      <w:proofErr w:type="spellEnd"/>
      <w:r w:rsidRPr="002331DA">
        <w:rPr>
          <w:rStyle w:val="Emphasis"/>
        </w:rPr>
        <w:t xml:space="preserve">. The impact of any significant changes to benefits must be </w:t>
      </w:r>
      <w:r w:rsidRPr="00E204ED">
        <w:rPr>
          <w:rStyle w:val="Emphasis"/>
        </w:rPr>
        <w:t>assessed and included in the updated Economic Analysis</w:t>
      </w:r>
      <w:r w:rsidR="002331DA" w:rsidRPr="00E204ED">
        <w:rPr>
          <w:rStyle w:val="Emphasis"/>
        </w:rPr>
        <w:t>,</w:t>
      </w:r>
      <w:r w:rsidR="00C72520" w:rsidRPr="00E204ED">
        <w:rPr>
          <w:rStyle w:val="Emphasis"/>
        </w:rPr>
        <w:t xml:space="preserve"> and included or updated in the </w:t>
      </w:r>
      <w:r w:rsidR="009C584B" w:rsidRPr="00E204ED">
        <w:rPr>
          <w:rStyle w:val="Emphasis"/>
        </w:rPr>
        <w:t>Benefits Realisation Plan</w:t>
      </w:r>
      <w:r w:rsidR="002331DA" w:rsidRPr="00E204ED">
        <w:rPr>
          <w:rStyle w:val="Emphasis"/>
        </w:rPr>
        <w:t xml:space="preserve"> (</w:t>
      </w:r>
      <w:hyperlink w:anchor="_Benefits_Realisation_Plan" w:history="1">
        <w:r w:rsidR="002331DA" w:rsidRPr="00E204ED">
          <w:rPr>
            <w:rStyle w:val="Hyperlink"/>
            <w:sz w:val="20"/>
          </w:rPr>
          <w:t>Annex 6</w:t>
        </w:r>
      </w:hyperlink>
      <w:r w:rsidR="002331DA" w:rsidRPr="00E204ED">
        <w:rPr>
          <w:rStyle w:val="Emphasis"/>
        </w:rPr>
        <w:t>).</w:t>
      </w:r>
      <w:r w:rsidRPr="002331DA">
        <w:rPr>
          <w:rStyle w:val="Emphasis"/>
        </w:rPr>
        <w:t xml:space="preserve"> </w:t>
      </w:r>
    </w:p>
    <w:p w14:paraId="672B37F1" w14:textId="77777777" w:rsidR="00CE7FFA" w:rsidRDefault="00CE7FFA" w:rsidP="003D5AF3">
      <w:pPr>
        <w:spacing w:line="260" w:lineRule="atLeast"/>
        <w:rPr>
          <w:iCs/>
        </w:rPr>
      </w:pPr>
    </w:p>
    <w:p w14:paraId="000DF47E" w14:textId="77777777" w:rsidR="00CE7FFA" w:rsidRPr="00D17BFC" w:rsidRDefault="00CE7FFA" w:rsidP="006E4FDB">
      <w:pPr>
        <w:pStyle w:val="Heading1"/>
      </w:pPr>
      <w:bookmarkStart w:id="76" w:name="_Commercial_Case_–"/>
      <w:bookmarkStart w:id="77" w:name="_Toc50548998"/>
      <w:bookmarkEnd w:id="76"/>
      <w:r w:rsidRPr="00D17BFC">
        <w:lastRenderedPageBreak/>
        <w:t>Commercial Case</w:t>
      </w:r>
      <w:r>
        <w:t xml:space="preserve"> – contracting for the project</w:t>
      </w:r>
      <w:bookmarkEnd w:id="77"/>
      <w:r w:rsidRPr="00D17BFC">
        <w:t xml:space="preserve"> </w:t>
      </w:r>
    </w:p>
    <w:bookmarkStart w:id="78" w:name="_Toc20312797"/>
    <w:p w14:paraId="32693461" w14:textId="77777777" w:rsidR="00CE7FFA" w:rsidRPr="00584A3E" w:rsidRDefault="00584A3E" w:rsidP="003D5AF3">
      <w:pPr>
        <w:pBdr>
          <w:top w:val="single" w:sz="4" w:space="4" w:color="F2F2F2"/>
          <w:left w:val="single" w:sz="4" w:space="4" w:color="F2F2F2"/>
          <w:bottom w:val="single" w:sz="4" w:space="8" w:color="F2F2F2"/>
          <w:right w:val="single" w:sz="4" w:space="4" w:color="F2F2F2"/>
        </w:pBdr>
        <w:spacing w:line="260" w:lineRule="atLeast"/>
        <w:rPr>
          <w:rStyle w:val="Hyperlink"/>
          <w:sz w:val="24"/>
        </w:rPr>
      </w:pPr>
      <w:r>
        <w:rPr>
          <w:sz w:val="24"/>
        </w:rPr>
        <w:fldChar w:fldCharType="begin"/>
      </w:r>
      <w:r>
        <w:rPr>
          <w:sz w:val="24"/>
        </w:rPr>
        <w:instrText xml:space="preserve"> HYPERLINK  \l "_Commercial_Case_–_1" </w:instrText>
      </w:r>
      <w:r>
        <w:rPr>
          <w:sz w:val="24"/>
        </w:rPr>
        <w:fldChar w:fldCharType="separate"/>
      </w:r>
      <w:r w:rsidR="00CE7FFA" w:rsidRPr="00584A3E">
        <w:rPr>
          <w:rStyle w:val="Hyperlink"/>
          <w:sz w:val="24"/>
        </w:rPr>
        <w:t>&lt;</w:t>
      </w:r>
      <w:proofErr w:type="gramStart"/>
      <w:r w:rsidR="00CE7FFA" w:rsidRPr="00584A3E">
        <w:rPr>
          <w:rStyle w:val="Hyperlink"/>
          <w:sz w:val="24"/>
        </w:rPr>
        <w:t>go</w:t>
      </w:r>
      <w:proofErr w:type="gramEnd"/>
      <w:r w:rsidR="00CE7FFA" w:rsidRPr="00584A3E">
        <w:rPr>
          <w:rStyle w:val="Hyperlink"/>
          <w:sz w:val="24"/>
        </w:rPr>
        <w:t xml:space="preserve"> to guidance&gt;</w:t>
      </w:r>
    </w:p>
    <w:p w14:paraId="090B4655" w14:textId="77777777" w:rsidR="001B1CF5" w:rsidRPr="007A4FCF" w:rsidRDefault="00584A3E"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sz w:val="24"/>
        </w:rPr>
        <w:fldChar w:fldCharType="end"/>
      </w:r>
      <w:r w:rsidR="00CE7FFA" w:rsidRPr="007A4FCF">
        <w:rPr>
          <w:rStyle w:val="Emphasis"/>
        </w:rPr>
        <w:t xml:space="preserve">This section outlines </w:t>
      </w:r>
      <w:r w:rsidR="001C70CA" w:rsidRPr="007A4FCF">
        <w:rPr>
          <w:rStyle w:val="Emphasis"/>
        </w:rPr>
        <w:t xml:space="preserve">the </w:t>
      </w:r>
      <w:r w:rsidR="00CE7FFA" w:rsidRPr="007A4FCF">
        <w:rPr>
          <w:rStyle w:val="Emphasis"/>
        </w:rPr>
        <w:t xml:space="preserve">significant </w:t>
      </w:r>
      <w:r w:rsidR="001B1CF5" w:rsidRPr="007A4FCF">
        <w:rPr>
          <w:rStyle w:val="Emphasis"/>
        </w:rPr>
        <w:t>procurements (</w:t>
      </w:r>
      <w:r w:rsidR="001C70CA" w:rsidRPr="007A4FCF">
        <w:rPr>
          <w:rStyle w:val="Emphasis"/>
        </w:rPr>
        <w:t xml:space="preserve">one or multiple </w:t>
      </w:r>
      <w:r w:rsidR="001B1CF5" w:rsidRPr="007A4FCF">
        <w:rPr>
          <w:rStyle w:val="Emphasis"/>
        </w:rPr>
        <w:t>select</w:t>
      </w:r>
      <w:r w:rsidR="00B62BD7" w:rsidRPr="007A4FCF">
        <w:rPr>
          <w:rStyle w:val="Emphasis"/>
        </w:rPr>
        <w:t>ed</w:t>
      </w:r>
      <w:r w:rsidR="001B1CF5" w:rsidRPr="007A4FCF">
        <w:rPr>
          <w:rStyle w:val="Emphasis"/>
        </w:rPr>
        <w:t xml:space="preserve"> preferred suppliers) and potential </w:t>
      </w:r>
      <w:r w:rsidR="00CE7FFA" w:rsidRPr="007A4FCF">
        <w:rPr>
          <w:rStyle w:val="Emphasis"/>
        </w:rPr>
        <w:t>contracts</w:t>
      </w:r>
      <w:r w:rsidR="001B1CF5" w:rsidRPr="007A4FCF">
        <w:rPr>
          <w:rStyle w:val="Emphasis"/>
        </w:rPr>
        <w:t xml:space="preserve"> (initial negotiations with preferred suppliers)</w:t>
      </w:r>
      <w:r w:rsidR="00CE7FFA" w:rsidRPr="007A4FCF">
        <w:rPr>
          <w:rStyle w:val="Emphasis"/>
        </w:rPr>
        <w:t xml:space="preserve">. </w:t>
      </w:r>
    </w:p>
    <w:p w14:paraId="1095EADF" w14:textId="044FE042" w:rsidR="001C70CA" w:rsidRPr="007A4FCF" w:rsidRDefault="00D26F82"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7A4FCF">
        <w:rPr>
          <w:rStyle w:val="Emphasis"/>
        </w:rPr>
        <w:t>Provide a brief summary of t</w:t>
      </w:r>
      <w:r w:rsidR="001C70CA" w:rsidRPr="007A4FCF">
        <w:rPr>
          <w:rStyle w:val="Emphasis"/>
        </w:rPr>
        <w:t>he Procurement Plan and Evaluation Panel Report</w:t>
      </w:r>
      <w:r w:rsidRPr="007A4FCF">
        <w:rPr>
          <w:rStyle w:val="Emphasis"/>
        </w:rPr>
        <w:t>/Minutes. These documents</w:t>
      </w:r>
      <w:r w:rsidR="001C70CA" w:rsidRPr="007A4FCF">
        <w:rPr>
          <w:rStyle w:val="Emphasis"/>
        </w:rPr>
        <w:t xml:space="preserve"> must be </w:t>
      </w:r>
      <w:r w:rsidR="0048289F" w:rsidRPr="007A4FCF">
        <w:rPr>
          <w:rStyle w:val="Emphasis"/>
        </w:rPr>
        <w:t>listed in Annex 2 and available on request</w:t>
      </w:r>
      <w:r w:rsidR="001C70CA" w:rsidRPr="007A4FCF">
        <w:rPr>
          <w:rStyle w:val="Emphasis"/>
        </w:rPr>
        <w:t xml:space="preserve">. </w:t>
      </w:r>
    </w:p>
    <w:p w14:paraId="62602522" w14:textId="77777777" w:rsidR="00A44549" w:rsidRPr="007A4FCF" w:rsidRDefault="00AD0630"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color w:val="1F4E79"/>
          <w:sz w:val="20"/>
        </w:rPr>
      </w:pPr>
      <w:r w:rsidRPr="007A4FCF">
        <w:rPr>
          <w:i/>
          <w:color w:val="1F4E79"/>
          <w:sz w:val="20"/>
        </w:rPr>
        <w:t>Government departments must, and state sector agencies are expected to, apply the Government Procurement Rules 2019</w:t>
      </w:r>
      <w:r w:rsidR="00B62BD7" w:rsidRPr="007A4FCF">
        <w:rPr>
          <w:i/>
          <w:color w:val="1F4E79"/>
          <w:sz w:val="20"/>
        </w:rPr>
        <w:t xml:space="preserve">: </w:t>
      </w:r>
      <w:hyperlink r:id="rId18" w:history="1">
        <w:r w:rsidR="00B62BD7" w:rsidRPr="007A4FCF">
          <w:rPr>
            <w:rStyle w:val="Hyperlink"/>
            <w:sz w:val="20"/>
          </w:rPr>
          <w:t>https://www.procurement.govt.nz/procurement/principles-and-rules/government-procurement-rules</w:t>
        </w:r>
      </w:hyperlink>
      <w:r w:rsidR="00A44549" w:rsidRPr="007A4FCF">
        <w:rPr>
          <w:color w:val="1F4E79"/>
          <w:sz w:val="20"/>
        </w:rPr>
        <w:t xml:space="preserve"> </w:t>
      </w:r>
    </w:p>
    <w:p w14:paraId="1D7D6511" w14:textId="0CDEC8E4" w:rsidR="00AD0630" w:rsidRPr="007A4FCF" w:rsidRDefault="00BC5ACC"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sz w:val="20"/>
        </w:rPr>
      </w:pPr>
      <w:r w:rsidRPr="007A4FCF">
        <w:rPr>
          <w:i/>
          <w:color w:val="1F4E79"/>
          <w:sz w:val="20"/>
        </w:rPr>
        <w:t>MBIE also publish</w:t>
      </w:r>
      <w:r w:rsidR="004567B8" w:rsidRPr="007A4FCF">
        <w:rPr>
          <w:i/>
          <w:color w:val="1F4E79"/>
          <w:sz w:val="20"/>
        </w:rPr>
        <w:t>es</w:t>
      </w:r>
      <w:r w:rsidRPr="007A4FCF">
        <w:rPr>
          <w:i/>
          <w:color w:val="1F4E79"/>
          <w:sz w:val="20"/>
        </w:rPr>
        <w:t xml:space="preserve"> </w:t>
      </w:r>
      <w:r w:rsidR="00A44549" w:rsidRPr="007A4FCF">
        <w:rPr>
          <w:i/>
          <w:color w:val="1F4E79"/>
          <w:sz w:val="20"/>
        </w:rPr>
        <w:t>guide</w:t>
      </w:r>
      <w:r w:rsidRPr="007A4FCF">
        <w:rPr>
          <w:i/>
          <w:color w:val="1F4E79"/>
          <w:sz w:val="20"/>
        </w:rPr>
        <w:t>s to procurement</w:t>
      </w:r>
      <w:r w:rsidR="00A44549" w:rsidRPr="007A4FCF">
        <w:rPr>
          <w:i/>
          <w:color w:val="1F4E79"/>
          <w:sz w:val="20"/>
        </w:rPr>
        <w:t xml:space="preserve">: </w:t>
      </w:r>
      <w:hyperlink r:id="rId19" w:history="1">
        <w:r w:rsidRPr="007A4FCF">
          <w:rPr>
            <w:rStyle w:val="Hyperlink"/>
            <w:i/>
            <w:sz w:val="20"/>
          </w:rPr>
          <w:t>https://www.procurement.govt.nz/</w:t>
        </w:r>
      </w:hyperlink>
      <w:r w:rsidRPr="007A4FCF">
        <w:rPr>
          <w:i/>
          <w:color w:val="1F4E79"/>
          <w:sz w:val="20"/>
        </w:rPr>
        <w:t xml:space="preserve"> : </w:t>
      </w:r>
      <w:r w:rsidR="00AD0630" w:rsidRPr="007A4FCF">
        <w:rPr>
          <w:i/>
          <w:color w:val="1F4E79"/>
          <w:sz w:val="20"/>
        </w:rPr>
        <w:t xml:space="preserve"> </w:t>
      </w:r>
      <w:hyperlink r:id="rId20" w:history="1">
        <w:r w:rsidR="00A44549" w:rsidRPr="007A4FCF">
          <w:rPr>
            <w:rStyle w:val="Hyperlink"/>
            <w:sz w:val="20"/>
          </w:rPr>
          <w:t>https://www.procurement.govt.nz/procurement/guide-to-procurement/</w:t>
        </w:r>
      </w:hyperlink>
      <w:r w:rsidR="00A44549" w:rsidRPr="007A4FCF">
        <w:rPr>
          <w:sz w:val="20"/>
        </w:rPr>
        <w:t xml:space="preserve"> </w:t>
      </w:r>
      <w:proofErr w:type="gramStart"/>
      <w:r w:rsidR="004567B8" w:rsidRPr="007A4FCF">
        <w:rPr>
          <w:rStyle w:val="Emphasis"/>
        </w:rPr>
        <w:t>For</w:t>
      </w:r>
      <w:proofErr w:type="gramEnd"/>
      <w:r w:rsidR="004567B8" w:rsidRPr="007A4FCF">
        <w:rPr>
          <w:rStyle w:val="Emphasis"/>
        </w:rPr>
        <w:t xml:space="preserve"> guidance contact </w:t>
      </w:r>
      <w:hyperlink r:id="rId21" w:history="1">
        <w:r w:rsidR="004567B8" w:rsidRPr="007A4FCF">
          <w:rPr>
            <w:rStyle w:val="Hyperlink"/>
            <w:sz w:val="20"/>
          </w:rPr>
          <w:t>procurementplanning@mbie.govt.nz</w:t>
        </w:r>
      </w:hyperlink>
    </w:p>
    <w:p w14:paraId="6E9AFD3D" w14:textId="77777777" w:rsidR="00E95826" w:rsidRPr="007A4FCF" w:rsidRDefault="00E95826"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i w:val="0"/>
        </w:rPr>
      </w:pPr>
      <w:r w:rsidRPr="007A4FCF">
        <w:rPr>
          <w:rStyle w:val="Emphasis"/>
        </w:rPr>
        <w:t>Agencies considering the procurement of infrastructure with a total cost of ownership of more than $50</w:t>
      </w:r>
      <w:r w:rsidR="00AD0CF6" w:rsidRPr="007A4FCF">
        <w:rPr>
          <w:rStyle w:val="Emphasis"/>
        </w:rPr>
        <w:t xml:space="preserve"> </w:t>
      </w:r>
      <w:r w:rsidRPr="007A4FCF">
        <w:rPr>
          <w:rStyle w:val="Emphasis"/>
        </w:rPr>
        <w:t xml:space="preserve">million </w:t>
      </w:r>
      <w:r w:rsidRPr="007A4FCF">
        <w:rPr>
          <w:rStyle w:val="Emphasis"/>
          <w:u w:val="single"/>
        </w:rPr>
        <w:t xml:space="preserve">must </w:t>
      </w:r>
      <w:r w:rsidRPr="007A4FCF">
        <w:rPr>
          <w:rStyle w:val="Emphasis"/>
        </w:rPr>
        <w:t xml:space="preserve">consult with the New Zealand Infrastructure Commission </w:t>
      </w:r>
      <w:r w:rsidR="00B62BD7" w:rsidRPr="007A4FCF">
        <w:rPr>
          <w:rStyle w:val="Emphasis"/>
        </w:rPr>
        <w:t xml:space="preserve">Te Waihanga </w:t>
      </w:r>
      <w:r w:rsidRPr="007A4FCF">
        <w:rPr>
          <w:rStyle w:val="Emphasis"/>
        </w:rPr>
        <w:t>early in the development of the business case</w:t>
      </w:r>
      <w:r w:rsidR="00F92F4D" w:rsidRPr="007A4FCF">
        <w:rPr>
          <w:rStyle w:val="Emphasis"/>
        </w:rPr>
        <w:t xml:space="preserve"> </w:t>
      </w:r>
      <w:r w:rsidRPr="007A4FCF">
        <w:rPr>
          <w:rStyle w:val="Emphasis"/>
        </w:rPr>
        <w:t>and follow</w:t>
      </w:r>
      <w:r w:rsidR="00F92F4D" w:rsidRPr="007A4FCF">
        <w:rPr>
          <w:rStyle w:val="Emphasis"/>
        </w:rPr>
        <w:t xml:space="preserve"> all advice and</w:t>
      </w:r>
      <w:r w:rsidRPr="007A4FCF">
        <w:rPr>
          <w:rStyle w:val="Emphasis"/>
        </w:rPr>
        <w:t xml:space="preserve"> guidance.</w:t>
      </w:r>
      <w:r w:rsidR="00F92F4D" w:rsidRPr="007A4FCF">
        <w:rPr>
          <w:rStyle w:val="Emphasis"/>
        </w:rPr>
        <w:t xml:space="preserve"> Contact</w:t>
      </w:r>
      <w:r w:rsidR="00F92F4D" w:rsidRPr="007A4FCF">
        <w:rPr>
          <w:rStyle w:val="CommentReference"/>
          <w:sz w:val="20"/>
          <w:szCs w:val="20"/>
        </w:rPr>
        <w:t xml:space="preserve"> </w:t>
      </w:r>
      <w:hyperlink r:id="rId22" w:history="1">
        <w:r w:rsidR="00F92F4D" w:rsidRPr="007A4FCF">
          <w:rPr>
            <w:rStyle w:val="Hyperlink"/>
            <w:sz w:val="20"/>
          </w:rPr>
          <w:t>info@infracom.govt.nz</w:t>
        </w:r>
      </w:hyperlink>
    </w:p>
    <w:p w14:paraId="4AF1F29D" w14:textId="5878DC3D" w:rsidR="00767972" w:rsidRPr="007A4FCF" w:rsidRDefault="00767972"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7A4FCF">
        <w:rPr>
          <w:rStyle w:val="Emphasis"/>
        </w:rPr>
        <w:t xml:space="preserve">Agencies considering procurement of ICT solutions </w:t>
      </w:r>
      <w:r w:rsidRPr="007A4FCF">
        <w:rPr>
          <w:rStyle w:val="Emphasis"/>
          <w:u w:val="single"/>
        </w:rPr>
        <w:t xml:space="preserve">must </w:t>
      </w:r>
      <w:r w:rsidRPr="007A4FCF">
        <w:rPr>
          <w:rStyle w:val="Emphasis"/>
        </w:rPr>
        <w:t>consult</w:t>
      </w:r>
      <w:r w:rsidR="00884C48" w:rsidRPr="007A4FCF">
        <w:rPr>
          <w:rStyle w:val="Emphasis"/>
        </w:rPr>
        <w:t xml:space="preserve"> with the</w:t>
      </w:r>
      <w:r w:rsidR="00A71532" w:rsidRPr="007A4FCF">
        <w:rPr>
          <w:rStyle w:val="Emphasis"/>
        </w:rPr>
        <w:t xml:space="preserve"> Digital Public Service</w:t>
      </w:r>
      <w:r w:rsidR="00425DAB" w:rsidRPr="007A4FCF">
        <w:rPr>
          <w:rStyle w:val="Emphasis"/>
        </w:rPr>
        <w:t xml:space="preserve"> </w:t>
      </w:r>
      <w:r w:rsidR="00884C48" w:rsidRPr="007A4FCF">
        <w:rPr>
          <w:rStyle w:val="Emphasis"/>
        </w:rPr>
        <w:t xml:space="preserve">Branch </w:t>
      </w:r>
      <w:r w:rsidR="00A71532" w:rsidRPr="007A4FCF">
        <w:rPr>
          <w:rStyle w:val="Emphasis"/>
        </w:rPr>
        <w:t>early in the development of the business case and follow all advice and guidance. Contact</w:t>
      </w:r>
      <w:r w:rsidR="00A71532" w:rsidRPr="007A4FCF">
        <w:rPr>
          <w:rStyle w:val="CommentReference"/>
          <w:sz w:val="20"/>
          <w:szCs w:val="20"/>
        </w:rPr>
        <w:t xml:space="preserve"> </w:t>
      </w:r>
      <w:hyperlink r:id="rId23" w:history="1">
        <w:r w:rsidR="00A71532" w:rsidRPr="007A4FCF">
          <w:rPr>
            <w:rStyle w:val="Hyperlink"/>
            <w:sz w:val="20"/>
          </w:rPr>
          <w:t>GCDO@dia.govt.nz</w:t>
        </w:r>
      </w:hyperlink>
      <w:r w:rsidR="00A71532" w:rsidRPr="007A4FCF">
        <w:rPr>
          <w:rStyle w:val="Emphasis"/>
          <w:i w:val="0"/>
        </w:rPr>
        <w:t xml:space="preserve"> </w:t>
      </w:r>
    </w:p>
    <w:p w14:paraId="3EF548C7" w14:textId="77777777" w:rsidR="00CE7FFA" w:rsidRPr="007A4FCF" w:rsidRDefault="00816D0D"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7A4FCF">
        <w:rPr>
          <w:rStyle w:val="Emphasis"/>
        </w:rPr>
        <w:t xml:space="preserve">If there are multiple </w:t>
      </w:r>
      <w:r w:rsidR="00F16438" w:rsidRPr="007A4FCF">
        <w:rPr>
          <w:rStyle w:val="Emphasis"/>
        </w:rPr>
        <w:t xml:space="preserve">significant </w:t>
      </w:r>
      <w:r w:rsidRPr="007A4FCF">
        <w:rPr>
          <w:rStyle w:val="Emphasis"/>
        </w:rPr>
        <w:t>procurements, repeat</w:t>
      </w:r>
      <w:r w:rsidR="001B1CF5" w:rsidRPr="007A4FCF">
        <w:rPr>
          <w:rStyle w:val="Emphasis"/>
        </w:rPr>
        <w:t xml:space="preserve"> the contents and tables for each section below for each separate procurement</w:t>
      </w:r>
      <w:r w:rsidRPr="007A4FCF">
        <w:rPr>
          <w:rStyle w:val="Emphasis"/>
        </w:rPr>
        <w:t>/contract</w:t>
      </w:r>
      <w:r w:rsidR="001B1CF5" w:rsidRPr="007A4FCF">
        <w:rPr>
          <w:rStyle w:val="Emphasis"/>
        </w:rPr>
        <w:t>.</w:t>
      </w:r>
      <w:r w:rsidRPr="007A4FCF">
        <w:rPr>
          <w:rStyle w:val="Emphasis"/>
        </w:rPr>
        <w:t xml:space="preserve"> </w:t>
      </w:r>
      <w:r w:rsidR="00884C48" w:rsidRPr="007A4FCF">
        <w:rPr>
          <w:rStyle w:val="Emphasis"/>
        </w:rPr>
        <w:t xml:space="preserve"> </w:t>
      </w:r>
      <w:r w:rsidRPr="007A4FCF">
        <w:rPr>
          <w:rStyle w:val="Emphasis"/>
        </w:rPr>
        <w:t xml:space="preserve">If there are no significant contracts, minimise the Commercial Case. </w:t>
      </w:r>
    </w:p>
    <w:bookmarkEnd w:id="78"/>
    <w:p w14:paraId="62F5C8AB" w14:textId="77777777" w:rsidR="001B1CF5" w:rsidRDefault="001B1CF5" w:rsidP="007A4FCF">
      <w:pPr>
        <w:spacing w:line="260" w:lineRule="atLeast"/>
      </w:pPr>
      <w:r w:rsidRPr="00161028">
        <w:t xml:space="preserve">The </w:t>
      </w:r>
      <w:r w:rsidR="00482953" w:rsidRPr="00161028">
        <w:t xml:space="preserve">Commercial Case </w:t>
      </w:r>
      <w:r w:rsidRPr="00161028">
        <w:t xml:space="preserve">outlines the </w:t>
      </w:r>
      <w:r w:rsidR="00D26F82">
        <w:t xml:space="preserve">processes used to </w:t>
      </w:r>
      <w:r>
        <w:t>select</w:t>
      </w:r>
      <w:r w:rsidR="00D26F82">
        <w:t xml:space="preserve"> the</w:t>
      </w:r>
      <w:r>
        <w:t xml:space="preserve"> preferred suppliers and the </w:t>
      </w:r>
      <w:r w:rsidRPr="00161028">
        <w:t xml:space="preserve">proposed </w:t>
      </w:r>
      <w:r>
        <w:t>contract arrangements for the products and services required to implement the P</w:t>
      </w:r>
      <w:r w:rsidRPr="00161028">
        <w:t>referred</w:t>
      </w:r>
      <w:r>
        <w:t xml:space="preserve"> O</w:t>
      </w:r>
      <w:r w:rsidRPr="00161028">
        <w:t>ption.</w:t>
      </w:r>
    </w:p>
    <w:p w14:paraId="0A2021D0" w14:textId="14D69DD7" w:rsidR="00F16438" w:rsidRPr="004567B8" w:rsidRDefault="00DD3D06" w:rsidP="007A4FCF">
      <w:pPr>
        <w:spacing w:line="260" w:lineRule="atLeast"/>
        <w:rPr>
          <w:i/>
          <w:iCs/>
          <w:color w:val="0000FF"/>
        </w:rPr>
      </w:pPr>
      <w:r w:rsidRPr="00425DAB">
        <w:t>Th</w:t>
      </w:r>
      <w:r w:rsidR="00F16438">
        <w:t>e</w:t>
      </w:r>
      <w:r w:rsidRPr="00425DAB">
        <w:t xml:space="preserve"> pro</w:t>
      </w:r>
      <w:r w:rsidR="00F16438">
        <w:t>cess fo</w:t>
      </w:r>
      <w:r w:rsidRPr="00425DAB">
        <w:t xml:space="preserve">llowed </w:t>
      </w:r>
      <w:r w:rsidR="00F16438">
        <w:t>complies</w:t>
      </w:r>
      <w:r w:rsidR="009C584B">
        <w:t>/does not comply</w:t>
      </w:r>
      <w:r w:rsidR="00F16438">
        <w:t xml:space="preserve"> with </w:t>
      </w:r>
      <w:r w:rsidRPr="00425DAB">
        <w:t>the</w:t>
      </w:r>
      <w:r w:rsidR="00767972" w:rsidRPr="00425DAB">
        <w:t xml:space="preserve"> Government Procurement Rules 2019</w:t>
      </w:r>
      <w:r w:rsidR="004567B8">
        <w:t xml:space="preserve">: </w:t>
      </w:r>
      <w:r w:rsidR="004567B8" w:rsidRPr="004567B8">
        <w:rPr>
          <w:i/>
          <w:iCs/>
          <w:color w:val="0000FF"/>
        </w:rPr>
        <w:t>(delete whichever do not apply)</w:t>
      </w:r>
      <w:r w:rsidR="00F16438" w:rsidRPr="004567B8">
        <w:rPr>
          <w:i/>
          <w:iCs/>
          <w:color w:val="0000FF"/>
        </w:rPr>
        <w:t xml:space="preserve"> </w:t>
      </w:r>
    </w:p>
    <w:p w14:paraId="7FFE4743" w14:textId="19FD9902" w:rsidR="004567B8" w:rsidRDefault="004567B8" w:rsidP="007A4FCF">
      <w:pPr>
        <w:numPr>
          <w:ilvl w:val="0"/>
          <w:numId w:val="32"/>
        </w:numPr>
        <w:spacing w:line="260" w:lineRule="atLeast"/>
        <w:ind w:left="425" w:hanging="425"/>
      </w:pPr>
      <w:proofErr w:type="gramStart"/>
      <w:r w:rsidRPr="00425DAB">
        <w:t>advice</w:t>
      </w:r>
      <w:proofErr w:type="gramEnd"/>
      <w:r w:rsidRPr="00425DAB">
        <w:t xml:space="preserve"> and guidance from the </w:t>
      </w:r>
      <w:r>
        <w:t>MBIE’s Procurement Planning team has been sought and followed</w:t>
      </w:r>
      <w:r w:rsidR="009C584B">
        <w:t xml:space="preserve"> </w:t>
      </w:r>
      <w:r w:rsidR="009C584B" w:rsidRPr="009C584B">
        <w:rPr>
          <w:i/>
          <w:iCs/>
          <w:color w:val="0000FF"/>
        </w:rPr>
        <w:t>(mandatory if the process does not comply)</w:t>
      </w:r>
      <w:r w:rsidRPr="009C584B">
        <w:rPr>
          <w:i/>
          <w:iCs/>
          <w:color w:val="0000FF"/>
        </w:rPr>
        <w:t>.</w:t>
      </w:r>
    </w:p>
    <w:p w14:paraId="0DBDEC4D" w14:textId="77777777" w:rsidR="00F16438" w:rsidRDefault="00DD3D06" w:rsidP="007A4FCF">
      <w:pPr>
        <w:numPr>
          <w:ilvl w:val="0"/>
          <w:numId w:val="32"/>
        </w:numPr>
        <w:spacing w:line="260" w:lineRule="atLeast"/>
        <w:ind w:left="425" w:hanging="425"/>
      </w:pPr>
      <w:proofErr w:type="gramStart"/>
      <w:r w:rsidRPr="00425DAB">
        <w:t>advice</w:t>
      </w:r>
      <w:proofErr w:type="gramEnd"/>
      <w:r w:rsidRPr="00425DAB">
        <w:t xml:space="preserve"> and guidance from the Infrastructure Commission</w:t>
      </w:r>
      <w:r w:rsidR="00F16438">
        <w:t xml:space="preserve"> has been sought and followed.</w:t>
      </w:r>
    </w:p>
    <w:p w14:paraId="4A1F013E" w14:textId="77777777" w:rsidR="00767972" w:rsidRPr="00425DAB" w:rsidRDefault="00F16438" w:rsidP="007A4FCF">
      <w:pPr>
        <w:numPr>
          <w:ilvl w:val="0"/>
          <w:numId w:val="32"/>
        </w:numPr>
        <w:spacing w:line="260" w:lineRule="atLeast"/>
        <w:ind w:left="425" w:hanging="425"/>
      </w:pPr>
      <w:proofErr w:type="gramStart"/>
      <w:r w:rsidRPr="00425DAB">
        <w:t>advice</w:t>
      </w:r>
      <w:proofErr w:type="gramEnd"/>
      <w:r w:rsidRPr="00425DAB">
        <w:t xml:space="preserve"> and guidance</w:t>
      </w:r>
      <w:r>
        <w:t xml:space="preserve"> from </w:t>
      </w:r>
      <w:r w:rsidR="00884C48">
        <w:t xml:space="preserve">the </w:t>
      </w:r>
      <w:r w:rsidR="00DD3D06" w:rsidRPr="00884C48">
        <w:t>Digital Public Service</w:t>
      </w:r>
      <w:r w:rsidR="00884C48">
        <w:t xml:space="preserve"> branch in the Department of Internal Affairs</w:t>
      </w:r>
      <w:r>
        <w:t xml:space="preserve"> has been sought and followed</w:t>
      </w:r>
      <w:r w:rsidR="00DD3D06" w:rsidRPr="00884C48">
        <w:t>.</w:t>
      </w:r>
    </w:p>
    <w:p w14:paraId="227F7500" w14:textId="77777777" w:rsidR="00CF1420" w:rsidRDefault="00A03B17" w:rsidP="006E4FDB">
      <w:pPr>
        <w:pStyle w:val="Heading2"/>
      </w:pPr>
      <w:r>
        <w:t>S</w:t>
      </w:r>
      <w:r w:rsidR="006C17A2">
        <w:t>election of</w:t>
      </w:r>
      <w:r w:rsidR="00CF1420">
        <w:t xml:space="preserve"> </w:t>
      </w:r>
      <w:r>
        <w:t xml:space="preserve">Preferred </w:t>
      </w:r>
      <w:r w:rsidR="00CF1420">
        <w:t xml:space="preserve">Suppliers </w:t>
      </w:r>
    </w:p>
    <w:p w14:paraId="0EB853CD" w14:textId="0D96DE68" w:rsidR="004837EC" w:rsidRPr="007A4FCF" w:rsidRDefault="004837EC"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7A4FCF">
        <w:rPr>
          <w:rStyle w:val="Emphasis"/>
        </w:rPr>
        <w:t xml:space="preserve">Procurement must be based on the </w:t>
      </w:r>
      <w:r w:rsidR="00DB618A" w:rsidRPr="007A4FCF">
        <w:rPr>
          <w:rStyle w:val="Emphasis"/>
        </w:rPr>
        <w:t xml:space="preserve">approach and </w:t>
      </w:r>
      <w:r w:rsidRPr="007A4FCF">
        <w:rPr>
          <w:rStyle w:val="Emphasis"/>
        </w:rPr>
        <w:t>process set ou</w:t>
      </w:r>
      <w:r w:rsidR="00DB618A" w:rsidRPr="007A4FCF">
        <w:rPr>
          <w:rStyle w:val="Emphasis"/>
        </w:rPr>
        <w:t xml:space="preserve">t in the previous business case and the </w:t>
      </w:r>
      <w:r w:rsidR="00DB618A" w:rsidRPr="007A4FCF">
        <w:rPr>
          <w:rStyle w:val="Emphasis"/>
          <w:b/>
        </w:rPr>
        <w:t>Procurement P</w:t>
      </w:r>
      <w:r w:rsidRPr="007A4FCF">
        <w:rPr>
          <w:rStyle w:val="Emphasis"/>
          <w:b/>
        </w:rPr>
        <w:t>lan</w:t>
      </w:r>
      <w:r w:rsidRPr="007A4FCF">
        <w:rPr>
          <w:rStyle w:val="Emphasis"/>
        </w:rPr>
        <w:t xml:space="preserve">. </w:t>
      </w:r>
      <w:r w:rsidR="00482953" w:rsidRPr="007A4FCF">
        <w:rPr>
          <w:rStyle w:val="Emphasis"/>
        </w:rPr>
        <w:t xml:space="preserve"> </w:t>
      </w:r>
      <w:r w:rsidR="004567B8" w:rsidRPr="007A4FCF">
        <w:rPr>
          <w:rStyle w:val="Emphasis"/>
        </w:rPr>
        <w:t>Briefly e</w:t>
      </w:r>
      <w:r w:rsidRPr="007A4FCF">
        <w:rPr>
          <w:rStyle w:val="Emphasis"/>
        </w:rPr>
        <w:t xml:space="preserve">xplain any </w:t>
      </w:r>
      <w:r w:rsidR="00482953" w:rsidRPr="007A4FCF">
        <w:rPr>
          <w:rStyle w:val="Emphasis"/>
        </w:rPr>
        <w:t xml:space="preserve">variations to the process, and any </w:t>
      </w:r>
      <w:r w:rsidRPr="007A4FCF">
        <w:rPr>
          <w:rStyle w:val="Emphasis"/>
        </w:rPr>
        <w:t xml:space="preserve">changes to the procurement process since the previous business case.  </w:t>
      </w:r>
    </w:p>
    <w:p w14:paraId="507387EF" w14:textId="6FDEE25E" w:rsidR="004837EC" w:rsidRPr="00EC1A3D" w:rsidRDefault="004837EC"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7A4FCF">
        <w:rPr>
          <w:rStyle w:val="Emphasis"/>
          <w:u w:val="single"/>
        </w:rPr>
        <w:t>Summarise</w:t>
      </w:r>
      <w:r w:rsidRPr="007A4FCF">
        <w:rPr>
          <w:rStyle w:val="Emphasis"/>
        </w:rPr>
        <w:t xml:space="preserve"> </w:t>
      </w:r>
      <w:r w:rsidR="004567B8" w:rsidRPr="007A4FCF">
        <w:rPr>
          <w:rStyle w:val="Emphasis"/>
        </w:rPr>
        <w:t xml:space="preserve">(1-2 paragraphs), </w:t>
      </w:r>
      <w:r w:rsidRPr="007A4FCF">
        <w:rPr>
          <w:rStyle w:val="Emphasis"/>
        </w:rPr>
        <w:t xml:space="preserve">the </w:t>
      </w:r>
      <w:r w:rsidR="00D26F82" w:rsidRPr="007A4FCF">
        <w:rPr>
          <w:rStyle w:val="Emphasis"/>
        </w:rPr>
        <w:t xml:space="preserve">process that was used to </w:t>
      </w:r>
      <w:r w:rsidR="005D371E" w:rsidRPr="007A4FCF">
        <w:rPr>
          <w:rStyle w:val="Emphasis"/>
        </w:rPr>
        <w:t>approach t</w:t>
      </w:r>
      <w:r w:rsidR="00D26F82" w:rsidRPr="007A4FCF">
        <w:rPr>
          <w:rStyle w:val="Emphasis"/>
        </w:rPr>
        <w:t>he</w:t>
      </w:r>
      <w:r w:rsidR="005D371E" w:rsidRPr="007A4FCF">
        <w:rPr>
          <w:rStyle w:val="Emphasis"/>
        </w:rPr>
        <w:t xml:space="preserve"> market and </w:t>
      </w:r>
      <w:r w:rsidR="00D26F82" w:rsidRPr="007A4FCF">
        <w:rPr>
          <w:rStyle w:val="Emphasis"/>
        </w:rPr>
        <w:t xml:space="preserve">to </w:t>
      </w:r>
      <w:r w:rsidR="00DB618A" w:rsidRPr="007A4FCF">
        <w:rPr>
          <w:rStyle w:val="Emphasis"/>
        </w:rPr>
        <w:t>evaluat</w:t>
      </w:r>
      <w:r w:rsidR="00D26F82" w:rsidRPr="007A4FCF">
        <w:rPr>
          <w:rStyle w:val="Emphasis"/>
        </w:rPr>
        <w:t>e</w:t>
      </w:r>
      <w:r w:rsidR="00DB618A" w:rsidRPr="007A4FCF">
        <w:rPr>
          <w:rStyle w:val="Emphasis"/>
        </w:rPr>
        <w:t xml:space="preserve"> supplier offers</w:t>
      </w:r>
      <w:r w:rsidR="00D26F82" w:rsidRPr="007A4FCF">
        <w:rPr>
          <w:rStyle w:val="Emphasis"/>
        </w:rPr>
        <w:t>,</w:t>
      </w:r>
      <w:r w:rsidR="00DB618A" w:rsidRPr="007A4FCF">
        <w:rPr>
          <w:rStyle w:val="Emphasis"/>
        </w:rPr>
        <w:t xml:space="preserve"> and the key results</w:t>
      </w:r>
      <w:r w:rsidR="005D371E" w:rsidRPr="007A4FCF">
        <w:rPr>
          <w:rStyle w:val="Emphasis"/>
        </w:rPr>
        <w:t xml:space="preserve">. </w:t>
      </w:r>
      <w:r w:rsidR="00A44549" w:rsidRPr="007A4FCF">
        <w:rPr>
          <w:rStyle w:val="Emphasis"/>
        </w:rPr>
        <w:t xml:space="preserve"> </w:t>
      </w:r>
      <w:r w:rsidR="00DB618A" w:rsidRPr="007A4FCF">
        <w:rPr>
          <w:rStyle w:val="Emphasis"/>
        </w:rPr>
        <w:t>Outline</w:t>
      </w:r>
      <w:r w:rsidRPr="007A4FCF">
        <w:rPr>
          <w:rStyle w:val="Emphasis"/>
        </w:rPr>
        <w:t xml:space="preserve"> the basis for selecting the preferred suppliers,</w:t>
      </w:r>
      <w:r w:rsidR="005D371E" w:rsidRPr="007A4FCF">
        <w:rPr>
          <w:rStyle w:val="Emphasis"/>
        </w:rPr>
        <w:t xml:space="preserve"> and</w:t>
      </w:r>
      <w:r w:rsidRPr="007A4FCF">
        <w:rPr>
          <w:rStyle w:val="Emphasis"/>
        </w:rPr>
        <w:t xml:space="preserve"> </w:t>
      </w:r>
      <w:r w:rsidR="005D371E" w:rsidRPr="007A4FCF">
        <w:rPr>
          <w:rStyle w:val="Emphasis"/>
        </w:rPr>
        <w:t xml:space="preserve">the process and relevant outcomes of any due diligence checks. </w:t>
      </w:r>
      <w:r w:rsidR="00884C48" w:rsidRPr="007A4FCF">
        <w:rPr>
          <w:rStyle w:val="Emphasis"/>
        </w:rPr>
        <w:t xml:space="preserve"> </w:t>
      </w:r>
      <w:r w:rsidR="00095FC5" w:rsidRPr="007A4FCF">
        <w:rPr>
          <w:rStyle w:val="Emphasis"/>
        </w:rPr>
        <w:t>Include details of the</w:t>
      </w:r>
      <w:r w:rsidR="005D371E" w:rsidRPr="007A4FCF">
        <w:rPr>
          <w:rStyle w:val="Emphasis"/>
        </w:rPr>
        <w:t xml:space="preserve"> Evaluation Panel Report/Minutes</w:t>
      </w:r>
      <w:r w:rsidR="00095FC5" w:rsidRPr="007A4FCF">
        <w:rPr>
          <w:rStyle w:val="Emphasis"/>
        </w:rPr>
        <w:t xml:space="preserve"> in </w:t>
      </w:r>
      <w:hyperlink w:anchor="_Annex_2:_" w:history="1">
        <w:r w:rsidR="00095FC5" w:rsidRPr="007A4FCF">
          <w:rPr>
            <w:rStyle w:val="Hyperlink"/>
            <w:sz w:val="20"/>
          </w:rPr>
          <w:t>Annex 2</w:t>
        </w:r>
      </w:hyperlink>
      <w:r w:rsidR="005D371E" w:rsidRPr="007A4FCF">
        <w:rPr>
          <w:rStyle w:val="Emphasis"/>
          <w:shd w:val="clear" w:color="auto" w:fill="DEEAF6"/>
        </w:rPr>
        <w:t>.</w:t>
      </w:r>
      <w:r w:rsidR="005D371E" w:rsidRPr="007A4FCF">
        <w:rPr>
          <w:rStyle w:val="Emphasis"/>
        </w:rPr>
        <w:t xml:space="preserve">  </w:t>
      </w:r>
    </w:p>
    <w:p w14:paraId="7B32B8F5" w14:textId="77777777" w:rsidR="00C734E4" w:rsidRPr="007C273F" w:rsidRDefault="000306C1" w:rsidP="00996D0A">
      <w:pPr>
        <w:pStyle w:val="Heading3"/>
        <w:rPr>
          <w:rStyle w:val="Emphasis"/>
          <w:i w:val="0"/>
          <w:iCs w:val="0"/>
        </w:rPr>
      </w:pPr>
      <w:r w:rsidRPr="007C273F">
        <w:rPr>
          <w:rStyle w:val="Emphasis"/>
          <w:i w:val="0"/>
          <w:iCs w:val="0"/>
        </w:rPr>
        <w:lastRenderedPageBreak/>
        <w:t>A</w:t>
      </w:r>
      <w:r w:rsidR="00C734E4" w:rsidRPr="007C273F">
        <w:rPr>
          <w:rStyle w:val="Emphasis"/>
          <w:i w:val="0"/>
          <w:iCs w:val="0"/>
        </w:rPr>
        <w:t>pproach to the market</w:t>
      </w:r>
    </w:p>
    <w:p w14:paraId="63EE86BD" w14:textId="5ACC606C" w:rsidR="00301976" w:rsidRPr="007A4FCF" w:rsidRDefault="00014CB6" w:rsidP="005F2E69">
      <w:pPr>
        <w:keepNext/>
        <w:keepLines/>
        <w:spacing w:line="260" w:lineRule="atLeast"/>
        <w:rPr>
          <w:szCs w:val="22"/>
          <w:highlight w:val="yellow"/>
        </w:rPr>
      </w:pPr>
      <w:r w:rsidRPr="007A4FCF">
        <w:rPr>
          <w:szCs w:val="22"/>
          <w:highlight w:val="yellow"/>
        </w:rPr>
        <w:t xml:space="preserve">The procurement process </w:t>
      </w:r>
      <w:r w:rsidR="00816460" w:rsidRPr="007A4FCF">
        <w:rPr>
          <w:szCs w:val="22"/>
          <w:highlight w:val="yellow"/>
        </w:rPr>
        <w:t xml:space="preserve">followed </w:t>
      </w:r>
      <w:r w:rsidRPr="007A4FCF">
        <w:rPr>
          <w:szCs w:val="22"/>
          <w:highlight w:val="yellow"/>
        </w:rPr>
        <w:t xml:space="preserve">complies with MBIE Rules of Procurement.  </w:t>
      </w:r>
    </w:p>
    <w:p w14:paraId="4E08543C" w14:textId="77777777" w:rsidR="007A4FCF" w:rsidRPr="007A4FCF" w:rsidRDefault="007A4FCF" w:rsidP="005F2E69">
      <w:pPr>
        <w:keepNext/>
        <w:keepLines/>
        <w:spacing w:line="260" w:lineRule="atLeast"/>
        <w:rPr>
          <w:i/>
          <w:color w:val="0000FF"/>
          <w:szCs w:val="22"/>
        </w:rPr>
      </w:pPr>
      <w:r w:rsidRPr="007A4FCF">
        <w:rPr>
          <w:i/>
          <w:color w:val="0000FF"/>
          <w:szCs w:val="22"/>
          <w:highlight w:val="yellow"/>
        </w:rPr>
        <w:t>- OR -</w:t>
      </w:r>
      <w:r w:rsidRPr="007A4FCF">
        <w:rPr>
          <w:i/>
          <w:color w:val="0000FF"/>
          <w:szCs w:val="22"/>
        </w:rPr>
        <w:t xml:space="preserve"> </w:t>
      </w:r>
    </w:p>
    <w:p w14:paraId="20592096" w14:textId="1FB37428" w:rsidR="00014CB6" w:rsidRPr="007A4FCF" w:rsidRDefault="00014CB6" w:rsidP="007A4FCF">
      <w:pPr>
        <w:spacing w:line="260" w:lineRule="atLeast"/>
        <w:rPr>
          <w:rFonts w:ascii="Calibri" w:hAnsi="Calibri"/>
          <w:szCs w:val="22"/>
          <w:lang w:val="en-NZ" w:eastAsia="en-US"/>
        </w:rPr>
      </w:pPr>
      <w:r w:rsidRPr="007A4FCF">
        <w:rPr>
          <w:szCs w:val="22"/>
          <w:highlight w:val="yellow"/>
        </w:rPr>
        <w:t>MBIE approved or recommended the procurement approach chosen.</w:t>
      </w:r>
    </w:p>
    <w:p w14:paraId="35E467BA" w14:textId="42B53E6E" w:rsidR="002D5739" w:rsidRPr="007A4FCF" w:rsidRDefault="002D5739" w:rsidP="007A4FCF">
      <w:pPr>
        <w:spacing w:line="260" w:lineRule="atLeast"/>
        <w:rPr>
          <w:rStyle w:val="Emphasis"/>
          <w:i w:val="0"/>
          <w:sz w:val="22"/>
          <w:szCs w:val="22"/>
        </w:rPr>
      </w:pPr>
      <w:r w:rsidRPr="007A4FCF">
        <w:rPr>
          <w:rStyle w:val="Emphasis"/>
          <w:i w:val="0"/>
          <w:sz w:val="22"/>
          <w:szCs w:val="22"/>
        </w:rPr>
        <w:t xml:space="preserve">The </w:t>
      </w:r>
      <w:r w:rsidRPr="007A4FCF">
        <w:rPr>
          <w:rStyle w:val="Emphasis"/>
          <w:b/>
          <w:i w:val="0"/>
          <w:sz w:val="22"/>
          <w:szCs w:val="22"/>
        </w:rPr>
        <w:t>Procurement Plan</w:t>
      </w:r>
      <w:r w:rsidRPr="007A4FCF">
        <w:rPr>
          <w:rStyle w:val="Emphasis"/>
          <w:i w:val="0"/>
          <w:sz w:val="22"/>
          <w:szCs w:val="22"/>
        </w:rPr>
        <w:t xml:space="preserve"> provides more detail on the procurement process and evaluation methodology used.  The approved </w:t>
      </w:r>
      <w:r w:rsidRPr="007A4FCF">
        <w:rPr>
          <w:rStyle w:val="Emphasis"/>
          <w:i w:val="0"/>
          <w:iCs w:val="0"/>
          <w:color w:val="000000" w:themeColor="text1"/>
          <w:sz w:val="22"/>
          <w:szCs w:val="22"/>
        </w:rPr>
        <w:t xml:space="preserve">Procurement Plan </w:t>
      </w:r>
      <w:r w:rsidRPr="007A4FCF">
        <w:rPr>
          <w:rStyle w:val="Emphasis"/>
          <w:i w:val="0"/>
          <w:sz w:val="22"/>
          <w:szCs w:val="22"/>
        </w:rPr>
        <w:t xml:space="preserve">dated </w:t>
      </w:r>
      <w:r w:rsidRPr="007A4FCF">
        <w:rPr>
          <w:rStyle w:val="Emphasis"/>
          <w:i w:val="0"/>
          <w:sz w:val="22"/>
          <w:szCs w:val="22"/>
          <w:highlight w:val="yellow"/>
        </w:rPr>
        <w:t>[</w:t>
      </w:r>
      <w:proofErr w:type="spellStart"/>
      <w:r w:rsidRPr="007A4FCF">
        <w:rPr>
          <w:rStyle w:val="Emphasis"/>
          <w:i w:val="0"/>
          <w:sz w:val="22"/>
          <w:szCs w:val="22"/>
          <w:highlight w:val="yellow"/>
        </w:rPr>
        <w:t>dd</w:t>
      </w:r>
      <w:proofErr w:type="spellEnd"/>
      <w:r w:rsidRPr="007A4FCF">
        <w:rPr>
          <w:rStyle w:val="Emphasis"/>
          <w:i w:val="0"/>
          <w:sz w:val="22"/>
          <w:szCs w:val="22"/>
          <w:highlight w:val="yellow"/>
        </w:rPr>
        <w:t>/mm/</w:t>
      </w:r>
      <w:proofErr w:type="spellStart"/>
      <w:r w:rsidRPr="007A4FCF">
        <w:rPr>
          <w:rStyle w:val="Emphasis"/>
          <w:i w:val="0"/>
          <w:sz w:val="22"/>
          <w:szCs w:val="22"/>
          <w:highlight w:val="yellow"/>
        </w:rPr>
        <w:t>yy</w:t>
      </w:r>
      <w:proofErr w:type="spellEnd"/>
      <w:r w:rsidRPr="007A4FCF">
        <w:rPr>
          <w:rStyle w:val="Emphasis"/>
          <w:i w:val="0"/>
          <w:sz w:val="22"/>
          <w:szCs w:val="22"/>
          <w:highlight w:val="yellow"/>
        </w:rPr>
        <w:t>]</w:t>
      </w:r>
      <w:r w:rsidRPr="007A4FCF">
        <w:rPr>
          <w:rStyle w:val="Emphasis"/>
          <w:i w:val="0"/>
          <w:sz w:val="22"/>
          <w:szCs w:val="22"/>
        </w:rPr>
        <w:t xml:space="preserve"> </w:t>
      </w:r>
      <w:r w:rsidRPr="007A4FCF">
        <w:rPr>
          <w:rStyle w:val="Emphasis"/>
          <w:i w:val="0"/>
          <w:iCs w:val="0"/>
          <w:color w:val="000000" w:themeColor="text1"/>
          <w:sz w:val="22"/>
          <w:szCs w:val="22"/>
        </w:rPr>
        <w:t xml:space="preserve">is listed in </w:t>
      </w:r>
      <w:hyperlink w:anchor="_Annex_2:_" w:history="1">
        <w:r w:rsidRPr="007A4FCF">
          <w:rPr>
            <w:rStyle w:val="Hyperlink"/>
            <w:szCs w:val="22"/>
          </w:rPr>
          <w:t>Annex 2</w:t>
        </w:r>
      </w:hyperlink>
      <w:r w:rsidRPr="007A4FCF">
        <w:rPr>
          <w:rStyle w:val="Emphasis"/>
          <w:sz w:val="22"/>
          <w:szCs w:val="22"/>
        </w:rPr>
        <w:t xml:space="preserve"> </w:t>
      </w:r>
      <w:r w:rsidRPr="007A4FCF">
        <w:rPr>
          <w:rStyle w:val="Emphasis"/>
          <w:i w:val="0"/>
          <w:iCs w:val="0"/>
          <w:color w:val="000000" w:themeColor="text1"/>
          <w:sz w:val="22"/>
          <w:szCs w:val="22"/>
        </w:rPr>
        <w:t>and is available on request.</w:t>
      </w:r>
    </w:p>
    <w:p w14:paraId="446F1BAD" w14:textId="59A71BDA" w:rsidR="00C734E4" w:rsidRPr="007A4FCF" w:rsidRDefault="00440F55" w:rsidP="007A4FCF">
      <w:pPr>
        <w:spacing w:line="260" w:lineRule="atLeast"/>
        <w:rPr>
          <w:rStyle w:val="Emphasis"/>
          <w:i w:val="0"/>
          <w:sz w:val="22"/>
          <w:szCs w:val="22"/>
        </w:rPr>
      </w:pPr>
      <w:r w:rsidRPr="007A4FCF">
        <w:rPr>
          <w:rStyle w:val="Emphasis"/>
          <w:i w:val="0"/>
          <w:sz w:val="22"/>
          <w:szCs w:val="22"/>
        </w:rPr>
        <w:t>The</w:t>
      </w:r>
      <w:r w:rsidR="00C734E4" w:rsidRPr="007A4FCF">
        <w:rPr>
          <w:rStyle w:val="Emphasis"/>
          <w:i w:val="0"/>
          <w:sz w:val="22"/>
          <w:szCs w:val="22"/>
        </w:rPr>
        <w:t xml:space="preserve"> </w:t>
      </w:r>
      <w:r w:rsidRPr="007A4FCF">
        <w:rPr>
          <w:rStyle w:val="Emphasis"/>
          <w:i w:val="0"/>
          <w:sz w:val="22"/>
          <w:szCs w:val="22"/>
        </w:rPr>
        <w:t xml:space="preserve">previous </w:t>
      </w:r>
      <w:r w:rsidR="00C734E4" w:rsidRPr="007A4FCF">
        <w:rPr>
          <w:rStyle w:val="Emphasis"/>
          <w:i w:val="0"/>
          <w:sz w:val="22"/>
          <w:szCs w:val="22"/>
        </w:rPr>
        <w:t xml:space="preserve">business case received approval to approach the </w:t>
      </w:r>
      <w:r w:rsidR="00A27958" w:rsidRPr="007A4FCF">
        <w:rPr>
          <w:rStyle w:val="Emphasis"/>
          <w:i w:val="0"/>
          <w:sz w:val="22"/>
          <w:szCs w:val="22"/>
          <w:highlight w:val="yellow"/>
        </w:rPr>
        <w:t>[</w:t>
      </w:r>
      <w:r w:rsidR="00C734E4" w:rsidRPr="007A4FCF">
        <w:rPr>
          <w:rStyle w:val="Emphasis"/>
          <w:i w:val="0"/>
          <w:sz w:val="22"/>
          <w:szCs w:val="22"/>
          <w:highlight w:val="yellow"/>
        </w:rPr>
        <w:t>market</w:t>
      </w:r>
      <w:r w:rsidR="00A27958" w:rsidRPr="007A4FCF">
        <w:rPr>
          <w:rStyle w:val="Emphasis"/>
          <w:i w:val="0"/>
          <w:sz w:val="22"/>
          <w:szCs w:val="22"/>
          <w:highlight w:val="yellow"/>
        </w:rPr>
        <w:t>/</w:t>
      </w:r>
      <w:proofErr w:type="spellStart"/>
      <w:r w:rsidR="00A27958" w:rsidRPr="007A4FCF">
        <w:rPr>
          <w:rStyle w:val="Emphasis"/>
          <w:i w:val="0"/>
          <w:sz w:val="22"/>
          <w:szCs w:val="22"/>
          <w:highlight w:val="yellow"/>
        </w:rPr>
        <w:t>AoG</w:t>
      </w:r>
      <w:proofErr w:type="spellEnd"/>
      <w:r w:rsidR="00A27958" w:rsidRPr="007A4FCF">
        <w:rPr>
          <w:rStyle w:val="Emphasis"/>
          <w:i w:val="0"/>
          <w:sz w:val="22"/>
          <w:szCs w:val="22"/>
          <w:highlight w:val="yellow"/>
        </w:rPr>
        <w:t xml:space="preserve"> Panel]</w:t>
      </w:r>
      <w:r w:rsidR="00A27958" w:rsidRPr="007A4FCF">
        <w:rPr>
          <w:rStyle w:val="Emphasis"/>
          <w:i w:val="0"/>
          <w:sz w:val="22"/>
          <w:szCs w:val="22"/>
        </w:rPr>
        <w:t xml:space="preserve"> </w:t>
      </w:r>
      <w:r w:rsidR="00C734E4" w:rsidRPr="007A4FCF">
        <w:rPr>
          <w:rStyle w:val="Emphasis"/>
          <w:i w:val="0"/>
          <w:sz w:val="22"/>
          <w:szCs w:val="22"/>
        </w:rPr>
        <w:t>with a</w:t>
      </w:r>
      <w:r w:rsidR="00A27958" w:rsidRPr="007A4FCF">
        <w:rPr>
          <w:rStyle w:val="Emphasis"/>
          <w:i w:val="0"/>
          <w:sz w:val="22"/>
          <w:szCs w:val="22"/>
        </w:rPr>
        <w:t xml:space="preserve">n </w:t>
      </w:r>
      <w:r w:rsidR="00A27958" w:rsidRPr="007A4FCF">
        <w:rPr>
          <w:rStyle w:val="Emphasis"/>
          <w:i w:val="0"/>
          <w:sz w:val="22"/>
          <w:szCs w:val="22"/>
          <w:highlight w:val="yellow"/>
        </w:rPr>
        <w:t>open/closed</w:t>
      </w:r>
      <w:r w:rsidR="00C734E4" w:rsidRPr="007A4FCF">
        <w:rPr>
          <w:rStyle w:val="Emphasis"/>
          <w:i w:val="0"/>
          <w:sz w:val="22"/>
          <w:szCs w:val="22"/>
        </w:rPr>
        <w:t xml:space="preserve"> Request for </w:t>
      </w:r>
      <w:r w:rsidR="00C734E4" w:rsidRPr="007A4FCF">
        <w:rPr>
          <w:rStyle w:val="Emphasis"/>
          <w:i w:val="0"/>
          <w:sz w:val="22"/>
          <w:szCs w:val="22"/>
          <w:highlight w:val="yellow"/>
        </w:rPr>
        <w:t>[Proposal (RFP)/Tender</w:t>
      </w:r>
      <w:r w:rsidR="00AC547F" w:rsidRPr="007A4FCF">
        <w:rPr>
          <w:rStyle w:val="Emphasis"/>
          <w:i w:val="0"/>
          <w:sz w:val="22"/>
          <w:szCs w:val="22"/>
          <w:highlight w:val="yellow"/>
        </w:rPr>
        <w:t xml:space="preserve"> </w:t>
      </w:r>
      <w:r w:rsidR="00C734E4" w:rsidRPr="007A4FCF">
        <w:rPr>
          <w:rStyle w:val="Emphasis"/>
          <w:i w:val="0"/>
          <w:sz w:val="22"/>
          <w:szCs w:val="22"/>
          <w:highlight w:val="yellow"/>
        </w:rPr>
        <w:t>(RFT)]</w:t>
      </w:r>
      <w:r w:rsidR="00C734E4" w:rsidRPr="007A4FCF">
        <w:rPr>
          <w:rStyle w:val="Emphasis"/>
          <w:i w:val="0"/>
          <w:sz w:val="22"/>
          <w:szCs w:val="22"/>
        </w:rPr>
        <w:t>.</w:t>
      </w:r>
      <w:r w:rsidRPr="007A4FCF">
        <w:rPr>
          <w:rStyle w:val="Emphasis"/>
          <w:i w:val="0"/>
          <w:sz w:val="22"/>
          <w:szCs w:val="22"/>
        </w:rPr>
        <w:t xml:space="preserve"> </w:t>
      </w:r>
      <w:r w:rsidR="00C734E4" w:rsidRPr="007A4FCF">
        <w:rPr>
          <w:rStyle w:val="Emphasis"/>
          <w:i w:val="0"/>
          <w:sz w:val="22"/>
          <w:szCs w:val="22"/>
        </w:rPr>
        <w:t>Th</w:t>
      </w:r>
      <w:r w:rsidR="005D371E" w:rsidRPr="007A4FCF">
        <w:rPr>
          <w:rStyle w:val="Emphasis"/>
          <w:i w:val="0"/>
          <w:sz w:val="22"/>
          <w:szCs w:val="22"/>
        </w:rPr>
        <w:t>is</w:t>
      </w:r>
      <w:r w:rsidR="00C734E4" w:rsidRPr="007A4FCF">
        <w:rPr>
          <w:rStyle w:val="Emphasis"/>
          <w:i w:val="0"/>
          <w:sz w:val="22"/>
          <w:szCs w:val="22"/>
        </w:rPr>
        <w:t xml:space="preserve"> was issued on </w:t>
      </w:r>
      <w:r w:rsidR="00C734E4" w:rsidRPr="007A4FCF">
        <w:rPr>
          <w:rStyle w:val="Emphasis"/>
          <w:i w:val="0"/>
          <w:sz w:val="22"/>
          <w:szCs w:val="22"/>
          <w:highlight w:val="yellow"/>
        </w:rPr>
        <w:t>[</w:t>
      </w:r>
      <w:proofErr w:type="spellStart"/>
      <w:r w:rsidR="00C734E4" w:rsidRPr="007A4FCF">
        <w:rPr>
          <w:rStyle w:val="Emphasis"/>
          <w:i w:val="0"/>
          <w:sz w:val="22"/>
          <w:szCs w:val="22"/>
          <w:highlight w:val="yellow"/>
        </w:rPr>
        <w:t>dd</w:t>
      </w:r>
      <w:proofErr w:type="spellEnd"/>
      <w:r w:rsidR="00C734E4" w:rsidRPr="007A4FCF">
        <w:rPr>
          <w:rStyle w:val="Emphasis"/>
          <w:i w:val="0"/>
          <w:sz w:val="22"/>
          <w:szCs w:val="22"/>
          <w:highlight w:val="yellow"/>
        </w:rPr>
        <w:t xml:space="preserve"> </w:t>
      </w:r>
      <w:proofErr w:type="spellStart"/>
      <w:r w:rsidR="0003530F" w:rsidRPr="007A4FCF">
        <w:rPr>
          <w:rStyle w:val="Emphasis"/>
          <w:i w:val="0"/>
          <w:sz w:val="22"/>
          <w:szCs w:val="22"/>
          <w:highlight w:val="yellow"/>
        </w:rPr>
        <w:t>M</w:t>
      </w:r>
      <w:r w:rsidR="00C734E4" w:rsidRPr="007A4FCF">
        <w:rPr>
          <w:rStyle w:val="Emphasis"/>
          <w:i w:val="0"/>
          <w:sz w:val="22"/>
          <w:szCs w:val="22"/>
          <w:highlight w:val="yellow"/>
        </w:rPr>
        <w:t>mm</w:t>
      </w:r>
      <w:proofErr w:type="spellEnd"/>
      <w:r w:rsidR="00C734E4" w:rsidRPr="007A4FCF">
        <w:rPr>
          <w:rStyle w:val="Emphasis"/>
          <w:i w:val="0"/>
          <w:sz w:val="22"/>
          <w:szCs w:val="22"/>
          <w:highlight w:val="yellow"/>
        </w:rPr>
        <w:t xml:space="preserve"> </w:t>
      </w:r>
      <w:r w:rsidR="0003530F" w:rsidRPr="007A4FCF">
        <w:rPr>
          <w:rStyle w:val="Emphasis"/>
          <w:i w:val="0"/>
          <w:sz w:val="22"/>
          <w:szCs w:val="22"/>
          <w:highlight w:val="yellow"/>
        </w:rPr>
        <w:t>20YY</w:t>
      </w:r>
      <w:r w:rsidR="00C734E4" w:rsidRPr="007A4FCF">
        <w:rPr>
          <w:rStyle w:val="Emphasis"/>
          <w:i w:val="0"/>
          <w:sz w:val="22"/>
          <w:szCs w:val="22"/>
          <w:highlight w:val="yellow"/>
        </w:rPr>
        <w:t>]</w:t>
      </w:r>
      <w:r w:rsidR="00C734E4" w:rsidRPr="007A4FCF">
        <w:rPr>
          <w:rStyle w:val="Emphasis"/>
          <w:i w:val="0"/>
          <w:sz w:val="22"/>
          <w:szCs w:val="22"/>
        </w:rPr>
        <w:t xml:space="preserve"> </w:t>
      </w:r>
      <w:r w:rsidRPr="007A4FCF">
        <w:rPr>
          <w:rStyle w:val="Emphasis"/>
          <w:i w:val="0"/>
          <w:sz w:val="22"/>
          <w:szCs w:val="22"/>
        </w:rPr>
        <w:t xml:space="preserve">and the deadline to receive offers was </w:t>
      </w:r>
      <w:r w:rsidRPr="007A4FCF">
        <w:rPr>
          <w:rStyle w:val="Emphasis"/>
          <w:i w:val="0"/>
          <w:sz w:val="22"/>
          <w:szCs w:val="22"/>
          <w:highlight w:val="yellow"/>
        </w:rPr>
        <w:t>[</w:t>
      </w:r>
      <w:proofErr w:type="spellStart"/>
      <w:r w:rsidRPr="007A4FCF">
        <w:rPr>
          <w:rStyle w:val="Emphasis"/>
          <w:i w:val="0"/>
          <w:sz w:val="22"/>
          <w:szCs w:val="22"/>
          <w:highlight w:val="yellow"/>
        </w:rPr>
        <w:t>dd</w:t>
      </w:r>
      <w:proofErr w:type="spellEnd"/>
      <w:r w:rsidRPr="007A4FCF">
        <w:rPr>
          <w:rStyle w:val="Emphasis"/>
          <w:i w:val="0"/>
          <w:sz w:val="22"/>
          <w:szCs w:val="22"/>
          <w:highlight w:val="yellow"/>
        </w:rPr>
        <w:t xml:space="preserve"> </w:t>
      </w:r>
      <w:proofErr w:type="spellStart"/>
      <w:r w:rsidR="0003530F" w:rsidRPr="007A4FCF">
        <w:rPr>
          <w:rStyle w:val="Emphasis"/>
          <w:i w:val="0"/>
          <w:sz w:val="22"/>
          <w:szCs w:val="22"/>
          <w:highlight w:val="yellow"/>
        </w:rPr>
        <w:t>M</w:t>
      </w:r>
      <w:r w:rsidRPr="007A4FCF">
        <w:rPr>
          <w:rStyle w:val="Emphasis"/>
          <w:i w:val="0"/>
          <w:sz w:val="22"/>
          <w:szCs w:val="22"/>
          <w:highlight w:val="yellow"/>
        </w:rPr>
        <w:t>mm</w:t>
      </w:r>
      <w:proofErr w:type="spellEnd"/>
      <w:r w:rsidRPr="007A4FCF">
        <w:rPr>
          <w:rStyle w:val="Emphasis"/>
          <w:i w:val="0"/>
          <w:sz w:val="22"/>
          <w:szCs w:val="22"/>
          <w:highlight w:val="yellow"/>
        </w:rPr>
        <w:t xml:space="preserve"> </w:t>
      </w:r>
      <w:r w:rsidR="0003530F" w:rsidRPr="007A4FCF">
        <w:rPr>
          <w:rStyle w:val="Emphasis"/>
          <w:i w:val="0"/>
          <w:sz w:val="22"/>
          <w:szCs w:val="22"/>
          <w:highlight w:val="yellow"/>
        </w:rPr>
        <w:t>20YY</w:t>
      </w:r>
      <w:r w:rsidRPr="007A4FCF">
        <w:rPr>
          <w:rStyle w:val="Emphasis"/>
          <w:i w:val="0"/>
          <w:sz w:val="22"/>
          <w:szCs w:val="22"/>
          <w:highlight w:val="yellow"/>
        </w:rPr>
        <w:t>]</w:t>
      </w:r>
      <w:r w:rsidRPr="007A4FCF">
        <w:rPr>
          <w:rStyle w:val="Emphasis"/>
          <w:i w:val="0"/>
          <w:sz w:val="22"/>
          <w:szCs w:val="22"/>
        </w:rPr>
        <w:t>.</w:t>
      </w:r>
      <w:r w:rsidR="00C734E4" w:rsidRPr="007A4FCF">
        <w:rPr>
          <w:rStyle w:val="Emphasis"/>
          <w:i w:val="0"/>
          <w:sz w:val="22"/>
          <w:szCs w:val="22"/>
        </w:rPr>
        <w:t xml:space="preserve"> </w:t>
      </w:r>
    </w:p>
    <w:p w14:paraId="167173E8" w14:textId="40A8F398" w:rsidR="00C734E4" w:rsidRDefault="00C734E4" w:rsidP="006E4FDB">
      <w:pPr>
        <w:pStyle w:val="Heading3"/>
        <w:rPr>
          <w:rStyle w:val="Emphasis"/>
          <w:i w:val="0"/>
        </w:rPr>
      </w:pPr>
      <w:r>
        <w:rPr>
          <w:rStyle w:val="Emphasis"/>
          <w:i w:val="0"/>
        </w:rPr>
        <w:t xml:space="preserve">Evaluation of </w:t>
      </w:r>
      <w:r w:rsidRPr="007C273F">
        <w:rPr>
          <w:rStyle w:val="Emphasis"/>
          <w:i w:val="0"/>
          <w:iCs w:val="0"/>
        </w:rPr>
        <w:t>supplier</w:t>
      </w:r>
      <w:r>
        <w:rPr>
          <w:rStyle w:val="Emphasis"/>
          <w:i w:val="0"/>
        </w:rPr>
        <w:t xml:space="preserve"> offers</w:t>
      </w:r>
    </w:p>
    <w:p w14:paraId="0FD75A67" w14:textId="5E4A0218" w:rsidR="004567B8" w:rsidRPr="002D5739" w:rsidRDefault="004567B8" w:rsidP="00BF6322">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lang w:val="en-NZ"/>
        </w:rPr>
      </w:pPr>
      <w:r>
        <w:rPr>
          <w:rStyle w:val="Emphasis"/>
        </w:rPr>
        <w:t xml:space="preserve">The purpose of this is to </w:t>
      </w:r>
      <w:r w:rsidR="00617066">
        <w:rPr>
          <w:rStyle w:val="Emphasis"/>
        </w:rPr>
        <w:t>demonstrate that the evaluation was conducted by a cross-functional team representing all relevant stakeholder perspectives.</w:t>
      </w:r>
    </w:p>
    <w:p w14:paraId="1AE344E5" w14:textId="54AD28C0" w:rsidR="00C74B3A" w:rsidRPr="0052405E" w:rsidRDefault="00440F55" w:rsidP="007A4FCF">
      <w:pPr>
        <w:spacing w:line="260" w:lineRule="atLeast"/>
        <w:rPr>
          <w:rStyle w:val="Emphasis"/>
          <w:i w:val="0"/>
          <w:sz w:val="22"/>
          <w:szCs w:val="22"/>
        </w:rPr>
      </w:pPr>
      <w:r w:rsidRPr="0052405E">
        <w:rPr>
          <w:rStyle w:val="Emphasis"/>
          <w:i w:val="0"/>
          <w:sz w:val="22"/>
          <w:szCs w:val="22"/>
        </w:rPr>
        <w:t xml:space="preserve">A </w:t>
      </w:r>
      <w:r w:rsidR="00D41E76" w:rsidRPr="0052405E">
        <w:rPr>
          <w:rStyle w:val="Emphasis"/>
          <w:i w:val="0"/>
          <w:sz w:val="22"/>
          <w:szCs w:val="22"/>
        </w:rPr>
        <w:t xml:space="preserve">cross-functional </w:t>
      </w:r>
      <w:r w:rsidRPr="0052405E">
        <w:rPr>
          <w:rStyle w:val="Emphasis"/>
          <w:i w:val="0"/>
          <w:sz w:val="22"/>
          <w:szCs w:val="22"/>
        </w:rPr>
        <w:t>e</w:t>
      </w:r>
      <w:r w:rsidR="00716C58" w:rsidRPr="0052405E">
        <w:rPr>
          <w:rStyle w:val="Emphasis"/>
          <w:i w:val="0"/>
          <w:sz w:val="22"/>
          <w:szCs w:val="22"/>
        </w:rPr>
        <w:t>valuation panel</w:t>
      </w:r>
      <w:r w:rsidRPr="0052405E">
        <w:rPr>
          <w:rStyle w:val="Emphasis"/>
          <w:i w:val="0"/>
          <w:sz w:val="22"/>
          <w:szCs w:val="22"/>
        </w:rPr>
        <w:t xml:space="preserve"> </w:t>
      </w:r>
      <w:r w:rsidR="00D41E76" w:rsidRPr="0052405E">
        <w:rPr>
          <w:rStyle w:val="Emphasis"/>
          <w:i w:val="0"/>
          <w:sz w:val="22"/>
          <w:szCs w:val="22"/>
        </w:rPr>
        <w:t>representing, business, technical</w:t>
      </w:r>
      <w:r w:rsidR="00F26D2B" w:rsidRPr="0052405E">
        <w:rPr>
          <w:szCs w:val="22"/>
        </w:rPr>
        <w:t xml:space="preserve">, commercial, legal and user </w:t>
      </w:r>
      <w:r w:rsidR="00D41E76" w:rsidRPr="0052405E">
        <w:rPr>
          <w:rStyle w:val="Emphasis"/>
          <w:i w:val="0"/>
          <w:sz w:val="22"/>
          <w:szCs w:val="22"/>
        </w:rPr>
        <w:t xml:space="preserve">perspectives </w:t>
      </w:r>
      <w:r w:rsidRPr="0052405E">
        <w:rPr>
          <w:rStyle w:val="Emphasis"/>
          <w:i w:val="0"/>
          <w:sz w:val="22"/>
          <w:szCs w:val="22"/>
        </w:rPr>
        <w:t xml:space="preserve">was established to review all valid supplier offers following the process </w:t>
      </w:r>
      <w:r w:rsidR="00884C48" w:rsidRPr="0052405E">
        <w:rPr>
          <w:rStyle w:val="Emphasis"/>
          <w:i w:val="0"/>
          <w:sz w:val="22"/>
          <w:szCs w:val="22"/>
        </w:rPr>
        <w:t>described</w:t>
      </w:r>
      <w:r w:rsidRPr="0052405E">
        <w:rPr>
          <w:rStyle w:val="Emphasis"/>
          <w:i w:val="0"/>
          <w:sz w:val="22"/>
          <w:szCs w:val="22"/>
        </w:rPr>
        <w:t xml:space="preserve"> in the Procurement Plan</w:t>
      </w:r>
      <w:r w:rsidR="002D5739" w:rsidRPr="0052405E">
        <w:rPr>
          <w:rStyle w:val="Emphasis"/>
          <w:i w:val="0"/>
          <w:sz w:val="22"/>
          <w:szCs w:val="22"/>
        </w:rPr>
        <w:t xml:space="preserve">. </w:t>
      </w:r>
      <w:r w:rsidR="00816460" w:rsidRPr="0052405E">
        <w:rPr>
          <w:rStyle w:val="Emphasis"/>
          <w:i w:val="0"/>
          <w:sz w:val="22"/>
          <w:szCs w:val="22"/>
        </w:rPr>
        <w:t xml:space="preserve"> </w:t>
      </w:r>
      <w:r w:rsidR="002D5739" w:rsidRPr="0052405E">
        <w:rPr>
          <w:rStyle w:val="Emphasis"/>
          <w:i w:val="0"/>
          <w:sz w:val="22"/>
          <w:szCs w:val="22"/>
        </w:rPr>
        <w:t>The panel followed this consistent process for all proposals and evaluated proposals against documented weighted criteria.</w:t>
      </w:r>
      <w:r w:rsidRPr="0052405E">
        <w:rPr>
          <w:rStyle w:val="Emphasis"/>
          <w:i w:val="0"/>
          <w:sz w:val="22"/>
          <w:szCs w:val="22"/>
        </w:rPr>
        <w:t xml:space="preserve"> </w:t>
      </w:r>
      <w:r w:rsidR="00884C48" w:rsidRPr="0052405E">
        <w:rPr>
          <w:rStyle w:val="Emphasis"/>
          <w:i w:val="0"/>
          <w:sz w:val="22"/>
          <w:szCs w:val="22"/>
        </w:rPr>
        <w:t xml:space="preserve"> </w:t>
      </w:r>
    </w:p>
    <w:p w14:paraId="045B13A3" w14:textId="3D64A6FC" w:rsidR="00BF6322" w:rsidRPr="0052405E" w:rsidRDefault="00BF6322" w:rsidP="007A4FCF">
      <w:pPr>
        <w:spacing w:line="260" w:lineRule="atLeast"/>
        <w:rPr>
          <w:rStyle w:val="Emphasis"/>
          <w:i w:val="0"/>
          <w:sz w:val="22"/>
          <w:szCs w:val="22"/>
        </w:rPr>
      </w:pPr>
      <w:r w:rsidRPr="0052405E">
        <w:rPr>
          <w:rStyle w:val="Emphasis"/>
          <w:i w:val="0"/>
          <w:sz w:val="22"/>
          <w:szCs w:val="22"/>
        </w:rPr>
        <w:t xml:space="preserve">The following suppliers provided offers that met the preconditions and were evaluated: </w:t>
      </w:r>
    </w:p>
    <w:p w14:paraId="350D0837" w14:textId="77777777" w:rsidR="00BF6322" w:rsidRPr="0052405E" w:rsidRDefault="00BF6322" w:rsidP="00E204ED">
      <w:pPr>
        <w:pStyle w:val="ListParagraph"/>
        <w:numPr>
          <w:ilvl w:val="0"/>
          <w:numId w:val="48"/>
        </w:numPr>
        <w:spacing w:line="260" w:lineRule="atLeast"/>
        <w:ind w:left="425" w:hanging="425"/>
        <w:rPr>
          <w:rStyle w:val="Emphasis"/>
          <w:i w:val="0"/>
          <w:color w:val="000000" w:themeColor="text1"/>
          <w:sz w:val="22"/>
          <w:szCs w:val="22"/>
        </w:rPr>
      </w:pPr>
      <w:r w:rsidRPr="0052405E">
        <w:rPr>
          <w:rStyle w:val="Emphasis"/>
          <w:i w:val="0"/>
          <w:color w:val="000000" w:themeColor="text1"/>
          <w:sz w:val="22"/>
          <w:szCs w:val="22"/>
        </w:rPr>
        <w:t xml:space="preserve">Xxx (preferred supplier) </w:t>
      </w:r>
      <w:r w:rsidRPr="0052405E">
        <w:rPr>
          <w:rStyle w:val="Emphasis"/>
          <w:iCs w:val="0"/>
          <w:color w:val="0000FF"/>
          <w:sz w:val="22"/>
          <w:szCs w:val="22"/>
        </w:rPr>
        <w:t>list in evaluation ranking order starting with the successful supplier</w:t>
      </w:r>
    </w:p>
    <w:p w14:paraId="50010211" w14:textId="77777777" w:rsidR="00BF6322" w:rsidRPr="0052405E" w:rsidRDefault="00BF6322" w:rsidP="00E204ED">
      <w:pPr>
        <w:numPr>
          <w:ilvl w:val="0"/>
          <w:numId w:val="48"/>
        </w:numPr>
        <w:spacing w:line="260" w:lineRule="atLeast"/>
        <w:ind w:left="425" w:hanging="425"/>
        <w:rPr>
          <w:rStyle w:val="Emphasis"/>
          <w:i w:val="0"/>
          <w:sz w:val="22"/>
          <w:szCs w:val="22"/>
        </w:rPr>
      </w:pPr>
    </w:p>
    <w:p w14:paraId="51B92915" w14:textId="77777777" w:rsidR="00BF6322" w:rsidRPr="0052405E" w:rsidRDefault="00BF6322" w:rsidP="00E204ED">
      <w:pPr>
        <w:numPr>
          <w:ilvl w:val="0"/>
          <w:numId w:val="48"/>
        </w:numPr>
        <w:spacing w:line="260" w:lineRule="atLeast"/>
        <w:ind w:left="425" w:hanging="425"/>
        <w:rPr>
          <w:rStyle w:val="Emphasis"/>
          <w:i w:val="0"/>
          <w:sz w:val="22"/>
          <w:szCs w:val="22"/>
        </w:rPr>
      </w:pPr>
    </w:p>
    <w:p w14:paraId="4769DB7A" w14:textId="77777777" w:rsidR="00BF6322" w:rsidRPr="0052405E" w:rsidRDefault="00BF6322" w:rsidP="007A4FCF">
      <w:pPr>
        <w:spacing w:line="260" w:lineRule="atLeast"/>
        <w:rPr>
          <w:rStyle w:val="Emphasis"/>
          <w:i w:val="0"/>
          <w:sz w:val="22"/>
          <w:szCs w:val="22"/>
        </w:rPr>
      </w:pPr>
      <w:r w:rsidRPr="0052405E">
        <w:rPr>
          <w:rStyle w:val="Emphasis"/>
          <w:i w:val="0"/>
          <w:sz w:val="22"/>
          <w:szCs w:val="22"/>
        </w:rPr>
        <w:t>The recommended preferred supplier</w:t>
      </w:r>
      <w:r w:rsidRPr="0052405E">
        <w:rPr>
          <w:rStyle w:val="Emphasis"/>
          <w:i w:val="0"/>
          <w:sz w:val="22"/>
          <w:szCs w:val="22"/>
          <w:highlight w:val="yellow"/>
        </w:rPr>
        <w:t>(s) is/are</w:t>
      </w:r>
      <w:r w:rsidRPr="0052405E">
        <w:rPr>
          <w:rStyle w:val="Emphasis"/>
          <w:i w:val="0"/>
          <w:sz w:val="22"/>
          <w:szCs w:val="22"/>
        </w:rPr>
        <w:t xml:space="preserve"> </w:t>
      </w:r>
      <w:r w:rsidRPr="0052405E">
        <w:rPr>
          <w:rStyle w:val="Emphasis"/>
          <w:i w:val="0"/>
          <w:sz w:val="22"/>
          <w:szCs w:val="22"/>
          <w:highlight w:val="yellow"/>
        </w:rPr>
        <w:t>….</w:t>
      </w:r>
      <w:r w:rsidRPr="0052405E">
        <w:rPr>
          <w:rStyle w:val="Emphasis"/>
          <w:i w:val="0"/>
          <w:sz w:val="22"/>
          <w:szCs w:val="22"/>
        </w:rPr>
        <w:t xml:space="preserve">. </w:t>
      </w:r>
      <w:proofErr w:type="gramStart"/>
      <w:r w:rsidRPr="0052405E">
        <w:rPr>
          <w:rStyle w:val="Emphasis"/>
          <w:i w:val="0"/>
          <w:sz w:val="22"/>
          <w:szCs w:val="22"/>
        </w:rPr>
        <w:t>because</w:t>
      </w:r>
      <w:proofErr w:type="gramEnd"/>
      <w:r w:rsidRPr="0052405E">
        <w:rPr>
          <w:rStyle w:val="Emphasis"/>
          <w:i w:val="0"/>
          <w:sz w:val="22"/>
          <w:szCs w:val="22"/>
        </w:rPr>
        <w:t xml:space="preserve"> </w:t>
      </w:r>
      <w:r w:rsidRPr="0052405E">
        <w:rPr>
          <w:rStyle w:val="Emphasis"/>
          <w:i w:val="0"/>
          <w:sz w:val="22"/>
          <w:szCs w:val="22"/>
          <w:highlight w:val="yellow"/>
        </w:rPr>
        <w:t>…</w:t>
      </w:r>
    </w:p>
    <w:p w14:paraId="19783731" w14:textId="754A55C0" w:rsidR="00716C58" w:rsidRPr="0052405E" w:rsidRDefault="002D5739" w:rsidP="007A4FCF">
      <w:pPr>
        <w:spacing w:line="260" w:lineRule="atLeast"/>
        <w:rPr>
          <w:rStyle w:val="Emphasis"/>
          <w:i w:val="0"/>
          <w:sz w:val="22"/>
          <w:szCs w:val="22"/>
        </w:rPr>
      </w:pPr>
      <w:r w:rsidRPr="0052405E">
        <w:rPr>
          <w:rStyle w:val="Emphasis"/>
          <w:i w:val="0"/>
          <w:sz w:val="22"/>
          <w:szCs w:val="22"/>
        </w:rPr>
        <w:t>The table below summarises the key evaluation criteria and results of the supplier offer evaluation.</w:t>
      </w:r>
    </w:p>
    <w:p w14:paraId="3689463D" w14:textId="130EA891" w:rsidR="00C9282F" w:rsidRPr="00884C48" w:rsidRDefault="00507B5F" w:rsidP="00414BEF">
      <w:pPr>
        <w:pStyle w:val="TableHeading1"/>
        <w:spacing w:after="60" w:line="240" w:lineRule="auto"/>
        <w:rPr>
          <w:b w:val="0"/>
          <w:color w:val="0000FF"/>
        </w:rPr>
      </w:pPr>
      <w:r w:rsidRPr="00482953">
        <w:t xml:space="preserve">Table </w:t>
      </w:r>
      <w:r w:rsidRPr="00884C48">
        <w:rPr>
          <w:highlight w:val="yellow"/>
        </w:rPr>
        <w:t>x</w:t>
      </w:r>
      <w:r w:rsidR="00C9282F" w:rsidRPr="00482953">
        <w:t xml:space="preserve">: </w:t>
      </w:r>
      <w:r w:rsidR="000F236C" w:rsidRPr="00884C48">
        <w:rPr>
          <w:b w:val="0"/>
        </w:rPr>
        <w:t>Summary</w:t>
      </w:r>
      <w:r w:rsidR="00C9282F" w:rsidRPr="00884C48">
        <w:rPr>
          <w:b w:val="0"/>
        </w:rPr>
        <w:t xml:space="preserve"> results of the supplier </w:t>
      </w:r>
      <w:r w:rsidR="0004505A" w:rsidRPr="00884C48">
        <w:rPr>
          <w:b w:val="0"/>
        </w:rPr>
        <w:t xml:space="preserve">offer </w:t>
      </w:r>
      <w:r w:rsidR="00C9282F" w:rsidRPr="00884C48">
        <w:rPr>
          <w:b w:val="0"/>
        </w:rPr>
        <w:t xml:space="preserve">evaluation </w:t>
      </w:r>
      <w:r w:rsidR="00C9282F" w:rsidRPr="00884C48">
        <w:rPr>
          <w:b w:val="0"/>
          <w:i/>
          <w:color w:val="0000FF"/>
        </w:rPr>
        <w:t>sample</w:t>
      </w:r>
      <w:r w:rsidR="00884C48">
        <w:rPr>
          <w:b w:val="0"/>
          <w:i/>
          <w:color w:val="0000FF"/>
        </w:rPr>
        <w:t xml:space="preserve"> only</w:t>
      </w:r>
      <w:r w:rsidR="00C9282F" w:rsidRPr="00884C48">
        <w:rPr>
          <w:b w:val="0"/>
          <w:i/>
          <w:color w:val="0000FF"/>
        </w:rPr>
        <w:t xml:space="preserve"> </w:t>
      </w:r>
      <w:r w:rsidR="00884C48" w:rsidRPr="00884C48">
        <w:rPr>
          <w:b w:val="0"/>
          <w:i/>
          <w:color w:val="0000FF"/>
        </w:rPr>
        <w:t xml:space="preserve">- your assessment criteria </w:t>
      </w:r>
      <w:r w:rsidR="00AB03B3">
        <w:rPr>
          <w:b w:val="0"/>
          <w:i/>
          <w:color w:val="0000FF"/>
        </w:rPr>
        <w:t xml:space="preserve">/key considerations </w:t>
      </w:r>
      <w:r w:rsidR="00884C48" w:rsidRPr="00884C48">
        <w:rPr>
          <w:b w:val="0"/>
          <w:i/>
          <w:color w:val="0000FF"/>
        </w:rPr>
        <w:t>may be different</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07"/>
        <w:gridCol w:w="1091"/>
        <w:gridCol w:w="1092"/>
        <w:gridCol w:w="1091"/>
        <w:gridCol w:w="1092"/>
        <w:gridCol w:w="1091"/>
        <w:gridCol w:w="1092"/>
      </w:tblGrid>
      <w:tr w:rsidR="00915AAC" w:rsidRPr="004C1278" w14:paraId="1948210F" w14:textId="77777777" w:rsidTr="0052405E">
        <w:tc>
          <w:tcPr>
            <w:tcW w:w="2807" w:type="dxa"/>
            <w:shd w:val="clear" w:color="auto" w:fill="CCD3E1"/>
            <w:vAlign w:val="bottom"/>
          </w:tcPr>
          <w:p w14:paraId="4B5860E9" w14:textId="77777777" w:rsidR="00915AAC" w:rsidRDefault="00915AAC" w:rsidP="003D5AF3">
            <w:pPr>
              <w:pStyle w:val="TableHeading"/>
              <w:keepNext/>
              <w:spacing w:before="40" w:after="40"/>
            </w:pPr>
          </w:p>
        </w:tc>
        <w:tc>
          <w:tcPr>
            <w:tcW w:w="6549" w:type="dxa"/>
            <w:gridSpan w:val="6"/>
            <w:shd w:val="clear" w:color="auto" w:fill="B5BFD3"/>
            <w:vAlign w:val="center"/>
          </w:tcPr>
          <w:p w14:paraId="188AA0D1" w14:textId="77777777" w:rsidR="00915AAC" w:rsidRPr="001A4652" w:rsidRDefault="00915AAC" w:rsidP="003D5AF3">
            <w:pPr>
              <w:pStyle w:val="TableHeading"/>
              <w:keepNext/>
              <w:spacing w:before="40" w:after="40"/>
              <w:jc w:val="center"/>
              <w:rPr>
                <w:b w:val="0"/>
              </w:rPr>
            </w:pPr>
            <w:r w:rsidRPr="001A4652">
              <w:rPr>
                <w:b w:val="0"/>
              </w:rPr>
              <w:t>Suppliers</w:t>
            </w:r>
          </w:p>
        </w:tc>
      </w:tr>
      <w:tr w:rsidR="00C9282F" w:rsidRPr="004C1278" w14:paraId="712264D5" w14:textId="77777777" w:rsidTr="0052405E">
        <w:tc>
          <w:tcPr>
            <w:tcW w:w="2807" w:type="dxa"/>
            <w:shd w:val="clear" w:color="auto" w:fill="CCD3E1"/>
            <w:vAlign w:val="bottom"/>
          </w:tcPr>
          <w:p w14:paraId="7F28F996" w14:textId="77777777" w:rsidR="00C9282F" w:rsidRPr="009911C3" w:rsidRDefault="00915AAC" w:rsidP="003D5AF3">
            <w:pPr>
              <w:pStyle w:val="TableHeading"/>
              <w:keepNext/>
              <w:spacing w:before="40" w:after="40"/>
            </w:pPr>
            <w:r>
              <w:t>Weighted scores</w:t>
            </w:r>
          </w:p>
        </w:tc>
        <w:tc>
          <w:tcPr>
            <w:tcW w:w="1091" w:type="dxa"/>
            <w:shd w:val="clear" w:color="auto" w:fill="CCD3E1"/>
            <w:vAlign w:val="center"/>
          </w:tcPr>
          <w:p w14:paraId="61FBF816" w14:textId="77777777" w:rsidR="00C9282F" w:rsidRPr="009911C3" w:rsidRDefault="00915AAC" w:rsidP="003D5AF3">
            <w:pPr>
              <w:pStyle w:val="TableHeading"/>
              <w:keepNext/>
              <w:spacing w:before="40" w:after="40"/>
              <w:jc w:val="center"/>
            </w:pPr>
            <w:r>
              <w:t>1</w:t>
            </w:r>
          </w:p>
        </w:tc>
        <w:tc>
          <w:tcPr>
            <w:tcW w:w="1092" w:type="dxa"/>
            <w:shd w:val="clear" w:color="auto" w:fill="CCD3E1"/>
            <w:vAlign w:val="center"/>
          </w:tcPr>
          <w:p w14:paraId="1A6942EE" w14:textId="77777777" w:rsidR="00C9282F" w:rsidRPr="009911C3" w:rsidRDefault="00915AAC" w:rsidP="003D5AF3">
            <w:pPr>
              <w:pStyle w:val="TableHeading"/>
              <w:keepNext/>
              <w:spacing w:before="40" w:after="40"/>
              <w:jc w:val="center"/>
            </w:pPr>
            <w:r>
              <w:t>2</w:t>
            </w:r>
          </w:p>
        </w:tc>
        <w:tc>
          <w:tcPr>
            <w:tcW w:w="1091" w:type="dxa"/>
            <w:shd w:val="clear" w:color="auto" w:fill="CCD3E1"/>
            <w:vAlign w:val="center"/>
          </w:tcPr>
          <w:p w14:paraId="53395D41" w14:textId="77777777" w:rsidR="00C9282F" w:rsidRPr="009911C3" w:rsidRDefault="00915AAC" w:rsidP="003D5AF3">
            <w:pPr>
              <w:pStyle w:val="TableHeading"/>
              <w:keepNext/>
              <w:spacing w:before="40" w:after="40"/>
              <w:jc w:val="center"/>
            </w:pPr>
            <w:r>
              <w:t>3</w:t>
            </w:r>
          </w:p>
        </w:tc>
        <w:tc>
          <w:tcPr>
            <w:tcW w:w="1092" w:type="dxa"/>
            <w:shd w:val="clear" w:color="auto" w:fill="CCD3E1"/>
            <w:vAlign w:val="center"/>
          </w:tcPr>
          <w:p w14:paraId="5ABB7AAD" w14:textId="77777777" w:rsidR="00C9282F" w:rsidRPr="009911C3" w:rsidRDefault="00915AAC" w:rsidP="003D5AF3">
            <w:pPr>
              <w:pStyle w:val="TableHeading"/>
              <w:keepNext/>
              <w:spacing w:before="40" w:after="40"/>
              <w:jc w:val="center"/>
            </w:pPr>
            <w:r>
              <w:t>4</w:t>
            </w:r>
          </w:p>
        </w:tc>
        <w:tc>
          <w:tcPr>
            <w:tcW w:w="1091" w:type="dxa"/>
            <w:shd w:val="clear" w:color="auto" w:fill="CCD3E1"/>
            <w:vAlign w:val="center"/>
          </w:tcPr>
          <w:p w14:paraId="655E268C" w14:textId="77777777" w:rsidR="00C9282F" w:rsidRPr="009911C3" w:rsidRDefault="00915AAC" w:rsidP="003D5AF3">
            <w:pPr>
              <w:pStyle w:val="TableHeading"/>
              <w:keepNext/>
              <w:spacing w:before="40" w:after="40"/>
              <w:jc w:val="center"/>
            </w:pPr>
            <w:r>
              <w:t>5</w:t>
            </w:r>
          </w:p>
        </w:tc>
        <w:tc>
          <w:tcPr>
            <w:tcW w:w="1092" w:type="dxa"/>
            <w:shd w:val="clear" w:color="auto" w:fill="CCD3E1"/>
            <w:vAlign w:val="center"/>
          </w:tcPr>
          <w:p w14:paraId="67F9B1AF" w14:textId="77777777" w:rsidR="00C9282F" w:rsidRPr="009911C3" w:rsidRDefault="00915AAC" w:rsidP="003D5AF3">
            <w:pPr>
              <w:pStyle w:val="TableHeading"/>
              <w:keepNext/>
              <w:spacing w:before="40" w:after="40"/>
              <w:jc w:val="center"/>
            </w:pPr>
            <w:r>
              <w:t>6</w:t>
            </w:r>
          </w:p>
        </w:tc>
      </w:tr>
      <w:tr w:rsidR="00C9282F" w:rsidRPr="00CC1667" w14:paraId="65EA40F7" w14:textId="77777777" w:rsidTr="0052405E">
        <w:tc>
          <w:tcPr>
            <w:tcW w:w="2807" w:type="dxa"/>
          </w:tcPr>
          <w:p w14:paraId="4F832C8C" w14:textId="77777777" w:rsidR="00C9282F" w:rsidRPr="00AB03B3" w:rsidRDefault="00C9282F" w:rsidP="003D5AF3">
            <w:pPr>
              <w:pStyle w:val="TableText"/>
              <w:spacing w:before="40" w:after="40"/>
              <w:rPr>
                <w:i/>
                <w:iCs/>
                <w:color w:val="0000FF"/>
              </w:rPr>
            </w:pPr>
            <w:r w:rsidRPr="00AB03B3">
              <w:rPr>
                <w:i/>
                <w:iCs/>
                <w:color w:val="0000FF"/>
              </w:rPr>
              <w:t>Technical merit</w:t>
            </w:r>
          </w:p>
        </w:tc>
        <w:tc>
          <w:tcPr>
            <w:tcW w:w="1091" w:type="dxa"/>
          </w:tcPr>
          <w:p w14:paraId="7650E9B9" w14:textId="77777777" w:rsidR="00C9282F" w:rsidRPr="00B51A7E" w:rsidRDefault="00C9282F" w:rsidP="003D5AF3">
            <w:pPr>
              <w:pStyle w:val="TableBullet"/>
              <w:numPr>
                <w:ilvl w:val="0"/>
                <w:numId w:val="0"/>
              </w:numPr>
              <w:spacing w:before="40" w:after="40" w:line="240" w:lineRule="atLeast"/>
              <w:ind w:left="227" w:hanging="227"/>
            </w:pPr>
          </w:p>
        </w:tc>
        <w:tc>
          <w:tcPr>
            <w:tcW w:w="1092" w:type="dxa"/>
          </w:tcPr>
          <w:p w14:paraId="19234982" w14:textId="77777777" w:rsidR="00C9282F" w:rsidRPr="009911C3" w:rsidRDefault="00C9282F" w:rsidP="003D5AF3">
            <w:pPr>
              <w:spacing w:before="40" w:after="40" w:line="240" w:lineRule="atLeast"/>
              <w:rPr>
                <w:sz w:val="20"/>
              </w:rPr>
            </w:pPr>
          </w:p>
        </w:tc>
        <w:tc>
          <w:tcPr>
            <w:tcW w:w="1091" w:type="dxa"/>
          </w:tcPr>
          <w:p w14:paraId="79C7B7E5" w14:textId="77777777" w:rsidR="00C9282F" w:rsidRPr="009911C3" w:rsidRDefault="00C9282F" w:rsidP="003D5AF3">
            <w:pPr>
              <w:spacing w:before="40" w:after="40" w:line="240" w:lineRule="atLeast"/>
              <w:rPr>
                <w:sz w:val="20"/>
              </w:rPr>
            </w:pPr>
          </w:p>
        </w:tc>
        <w:tc>
          <w:tcPr>
            <w:tcW w:w="1092" w:type="dxa"/>
          </w:tcPr>
          <w:p w14:paraId="7DE6CAD1" w14:textId="77777777" w:rsidR="00C9282F" w:rsidRPr="009911C3" w:rsidRDefault="00C9282F" w:rsidP="003D5AF3">
            <w:pPr>
              <w:spacing w:before="40" w:after="40" w:line="240" w:lineRule="atLeast"/>
              <w:rPr>
                <w:sz w:val="20"/>
              </w:rPr>
            </w:pPr>
          </w:p>
        </w:tc>
        <w:tc>
          <w:tcPr>
            <w:tcW w:w="1091" w:type="dxa"/>
          </w:tcPr>
          <w:p w14:paraId="19FFB33B" w14:textId="77777777" w:rsidR="00C9282F" w:rsidRPr="009911C3" w:rsidRDefault="00C9282F" w:rsidP="003D5AF3">
            <w:pPr>
              <w:spacing w:before="40" w:after="40" w:line="240" w:lineRule="atLeast"/>
              <w:rPr>
                <w:sz w:val="20"/>
              </w:rPr>
            </w:pPr>
          </w:p>
        </w:tc>
        <w:tc>
          <w:tcPr>
            <w:tcW w:w="1092" w:type="dxa"/>
          </w:tcPr>
          <w:p w14:paraId="018BA94B" w14:textId="77777777" w:rsidR="00C9282F" w:rsidRPr="009911C3" w:rsidRDefault="00C9282F" w:rsidP="003D5AF3">
            <w:pPr>
              <w:spacing w:before="40" w:after="40" w:line="240" w:lineRule="atLeast"/>
              <w:rPr>
                <w:sz w:val="20"/>
              </w:rPr>
            </w:pPr>
          </w:p>
        </w:tc>
      </w:tr>
      <w:tr w:rsidR="00C9282F" w:rsidRPr="00CC1667" w14:paraId="25F1F768" w14:textId="77777777" w:rsidTr="0052405E">
        <w:tc>
          <w:tcPr>
            <w:tcW w:w="2807" w:type="dxa"/>
          </w:tcPr>
          <w:p w14:paraId="66CB2FB4" w14:textId="77777777" w:rsidR="00C9282F" w:rsidRPr="00AB03B3" w:rsidRDefault="00915AAC" w:rsidP="003D5AF3">
            <w:pPr>
              <w:pStyle w:val="TableText"/>
              <w:spacing w:before="40" w:after="40"/>
              <w:rPr>
                <w:i/>
                <w:iCs/>
                <w:color w:val="0000FF"/>
              </w:rPr>
            </w:pPr>
            <w:r w:rsidRPr="00AB03B3">
              <w:rPr>
                <w:i/>
                <w:iCs/>
                <w:color w:val="0000FF"/>
              </w:rPr>
              <w:t xml:space="preserve">Supplier </w:t>
            </w:r>
            <w:r w:rsidR="00884C48" w:rsidRPr="00AB03B3">
              <w:rPr>
                <w:i/>
                <w:iCs/>
                <w:color w:val="0000FF"/>
              </w:rPr>
              <w:t>c</w:t>
            </w:r>
            <w:r w:rsidR="00C9282F" w:rsidRPr="00AB03B3">
              <w:rPr>
                <w:i/>
                <w:iCs/>
                <w:color w:val="0000FF"/>
              </w:rPr>
              <w:t>apability</w:t>
            </w:r>
          </w:p>
        </w:tc>
        <w:tc>
          <w:tcPr>
            <w:tcW w:w="1091" w:type="dxa"/>
          </w:tcPr>
          <w:p w14:paraId="1BF1E7E1" w14:textId="77777777" w:rsidR="00C9282F" w:rsidRDefault="00C9282F" w:rsidP="003D5AF3">
            <w:pPr>
              <w:spacing w:before="40" w:after="40" w:line="240" w:lineRule="atLeast"/>
              <w:rPr>
                <w:sz w:val="20"/>
              </w:rPr>
            </w:pPr>
          </w:p>
        </w:tc>
        <w:tc>
          <w:tcPr>
            <w:tcW w:w="1092" w:type="dxa"/>
          </w:tcPr>
          <w:p w14:paraId="2A597443" w14:textId="77777777" w:rsidR="00C9282F" w:rsidRPr="009911C3" w:rsidRDefault="00C9282F" w:rsidP="003D5AF3">
            <w:pPr>
              <w:spacing w:before="40" w:after="40" w:line="240" w:lineRule="atLeast"/>
              <w:rPr>
                <w:sz w:val="20"/>
              </w:rPr>
            </w:pPr>
          </w:p>
        </w:tc>
        <w:tc>
          <w:tcPr>
            <w:tcW w:w="1091" w:type="dxa"/>
          </w:tcPr>
          <w:p w14:paraId="44CDF9CB" w14:textId="77777777" w:rsidR="00C9282F" w:rsidRPr="009911C3" w:rsidRDefault="00C9282F" w:rsidP="003D5AF3">
            <w:pPr>
              <w:spacing w:before="40" w:after="40" w:line="240" w:lineRule="atLeast"/>
              <w:rPr>
                <w:sz w:val="20"/>
              </w:rPr>
            </w:pPr>
          </w:p>
        </w:tc>
        <w:tc>
          <w:tcPr>
            <w:tcW w:w="1092" w:type="dxa"/>
          </w:tcPr>
          <w:p w14:paraId="2CF4B737" w14:textId="77777777" w:rsidR="00C9282F" w:rsidRPr="009911C3" w:rsidRDefault="00C9282F" w:rsidP="003D5AF3">
            <w:pPr>
              <w:spacing w:before="40" w:after="40" w:line="240" w:lineRule="atLeast"/>
              <w:rPr>
                <w:sz w:val="20"/>
              </w:rPr>
            </w:pPr>
          </w:p>
        </w:tc>
        <w:tc>
          <w:tcPr>
            <w:tcW w:w="1091" w:type="dxa"/>
          </w:tcPr>
          <w:p w14:paraId="432583FC" w14:textId="77777777" w:rsidR="00C9282F" w:rsidRPr="009911C3" w:rsidRDefault="00C9282F" w:rsidP="003D5AF3">
            <w:pPr>
              <w:spacing w:before="40" w:after="40" w:line="240" w:lineRule="atLeast"/>
              <w:rPr>
                <w:sz w:val="20"/>
              </w:rPr>
            </w:pPr>
          </w:p>
        </w:tc>
        <w:tc>
          <w:tcPr>
            <w:tcW w:w="1092" w:type="dxa"/>
          </w:tcPr>
          <w:p w14:paraId="11452D92" w14:textId="77777777" w:rsidR="00C9282F" w:rsidRPr="009911C3" w:rsidRDefault="00C9282F" w:rsidP="003D5AF3">
            <w:pPr>
              <w:spacing w:before="40" w:after="40" w:line="240" w:lineRule="atLeast"/>
              <w:rPr>
                <w:sz w:val="20"/>
              </w:rPr>
            </w:pPr>
          </w:p>
        </w:tc>
      </w:tr>
      <w:tr w:rsidR="00915AAC" w:rsidRPr="00CC1667" w14:paraId="0A65E1B4" w14:textId="77777777" w:rsidTr="0052405E">
        <w:tc>
          <w:tcPr>
            <w:tcW w:w="2807" w:type="dxa"/>
          </w:tcPr>
          <w:p w14:paraId="4EAD218E" w14:textId="77777777" w:rsidR="00915AAC" w:rsidRPr="00AB03B3" w:rsidRDefault="00915AAC" w:rsidP="003D5AF3">
            <w:pPr>
              <w:pStyle w:val="TableText"/>
              <w:spacing w:before="40" w:after="40"/>
              <w:rPr>
                <w:i/>
                <w:iCs/>
                <w:color w:val="0000FF"/>
              </w:rPr>
            </w:pPr>
            <w:r w:rsidRPr="00AB03B3">
              <w:rPr>
                <w:i/>
                <w:iCs/>
                <w:color w:val="0000FF"/>
              </w:rPr>
              <w:t xml:space="preserve">Supplier </w:t>
            </w:r>
            <w:r w:rsidR="00884C48" w:rsidRPr="00AB03B3">
              <w:rPr>
                <w:i/>
                <w:iCs/>
                <w:color w:val="0000FF"/>
              </w:rPr>
              <w:t>r</w:t>
            </w:r>
            <w:r w:rsidRPr="00AB03B3">
              <w:rPr>
                <w:i/>
                <w:iCs/>
                <w:color w:val="0000FF"/>
              </w:rPr>
              <w:t>isk</w:t>
            </w:r>
          </w:p>
        </w:tc>
        <w:tc>
          <w:tcPr>
            <w:tcW w:w="1091" w:type="dxa"/>
          </w:tcPr>
          <w:p w14:paraId="62ED1715" w14:textId="77777777" w:rsidR="00915AAC" w:rsidRDefault="00915AAC" w:rsidP="003D5AF3">
            <w:pPr>
              <w:spacing w:before="40" w:after="40" w:line="240" w:lineRule="atLeast"/>
              <w:rPr>
                <w:sz w:val="20"/>
              </w:rPr>
            </w:pPr>
          </w:p>
        </w:tc>
        <w:tc>
          <w:tcPr>
            <w:tcW w:w="1092" w:type="dxa"/>
          </w:tcPr>
          <w:p w14:paraId="3C9B59F2" w14:textId="77777777" w:rsidR="00915AAC" w:rsidRPr="009911C3" w:rsidRDefault="00915AAC" w:rsidP="003D5AF3">
            <w:pPr>
              <w:spacing w:before="40" w:after="40" w:line="240" w:lineRule="atLeast"/>
              <w:rPr>
                <w:sz w:val="20"/>
              </w:rPr>
            </w:pPr>
          </w:p>
        </w:tc>
        <w:tc>
          <w:tcPr>
            <w:tcW w:w="1091" w:type="dxa"/>
          </w:tcPr>
          <w:p w14:paraId="2ED6602C" w14:textId="77777777" w:rsidR="00915AAC" w:rsidRPr="009911C3" w:rsidRDefault="00915AAC" w:rsidP="003D5AF3">
            <w:pPr>
              <w:spacing w:before="40" w:after="40" w:line="240" w:lineRule="atLeast"/>
              <w:rPr>
                <w:sz w:val="20"/>
              </w:rPr>
            </w:pPr>
          </w:p>
        </w:tc>
        <w:tc>
          <w:tcPr>
            <w:tcW w:w="1092" w:type="dxa"/>
          </w:tcPr>
          <w:p w14:paraId="713447DB" w14:textId="77777777" w:rsidR="00915AAC" w:rsidRPr="009911C3" w:rsidRDefault="00915AAC" w:rsidP="003D5AF3">
            <w:pPr>
              <w:spacing w:before="40" w:after="40" w:line="240" w:lineRule="atLeast"/>
              <w:rPr>
                <w:sz w:val="20"/>
              </w:rPr>
            </w:pPr>
          </w:p>
        </w:tc>
        <w:tc>
          <w:tcPr>
            <w:tcW w:w="1091" w:type="dxa"/>
          </w:tcPr>
          <w:p w14:paraId="7DB58E85" w14:textId="77777777" w:rsidR="00915AAC" w:rsidRPr="009911C3" w:rsidRDefault="00915AAC" w:rsidP="003D5AF3">
            <w:pPr>
              <w:spacing w:before="40" w:after="40" w:line="240" w:lineRule="atLeast"/>
              <w:rPr>
                <w:sz w:val="20"/>
              </w:rPr>
            </w:pPr>
          </w:p>
        </w:tc>
        <w:tc>
          <w:tcPr>
            <w:tcW w:w="1092" w:type="dxa"/>
          </w:tcPr>
          <w:p w14:paraId="39298F29" w14:textId="77777777" w:rsidR="00915AAC" w:rsidRPr="009911C3" w:rsidRDefault="00915AAC" w:rsidP="003D5AF3">
            <w:pPr>
              <w:spacing w:before="40" w:after="40" w:line="240" w:lineRule="atLeast"/>
              <w:rPr>
                <w:sz w:val="20"/>
              </w:rPr>
            </w:pPr>
          </w:p>
        </w:tc>
      </w:tr>
      <w:tr w:rsidR="00C9282F" w:rsidRPr="00CC1667" w14:paraId="2B35EE5F" w14:textId="77777777" w:rsidTr="0052405E">
        <w:tc>
          <w:tcPr>
            <w:tcW w:w="2807" w:type="dxa"/>
          </w:tcPr>
          <w:p w14:paraId="019066A6" w14:textId="77777777" w:rsidR="00C9282F" w:rsidRPr="00AB03B3" w:rsidRDefault="00C9282F" w:rsidP="003D5AF3">
            <w:pPr>
              <w:pStyle w:val="TableText"/>
              <w:spacing w:before="40" w:after="40"/>
              <w:rPr>
                <w:i/>
                <w:iCs/>
                <w:color w:val="0000FF"/>
              </w:rPr>
            </w:pPr>
            <w:r w:rsidRPr="00AB03B3">
              <w:rPr>
                <w:i/>
                <w:iCs/>
                <w:color w:val="0000FF"/>
              </w:rPr>
              <w:t>Value for money</w:t>
            </w:r>
          </w:p>
        </w:tc>
        <w:tc>
          <w:tcPr>
            <w:tcW w:w="1091" w:type="dxa"/>
          </w:tcPr>
          <w:p w14:paraId="1BBEA0E2" w14:textId="77777777" w:rsidR="00C9282F" w:rsidRDefault="00C9282F" w:rsidP="003D5AF3">
            <w:pPr>
              <w:spacing w:before="40" w:after="40" w:line="240" w:lineRule="atLeast"/>
              <w:rPr>
                <w:sz w:val="20"/>
              </w:rPr>
            </w:pPr>
          </w:p>
        </w:tc>
        <w:tc>
          <w:tcPr>
            <w:tcW w:w="1092" w:type="dxa"/>
          </w:tcPr>
          <w:p w14:paraId="7B2EC8E1" w14:textId="77777777" w:rsidR="00C9282F" w:rsidRPr="009911C3" w:rsidRDefault="00C9282F" w:rsidP="003D5AF3">
            <w:pPr>
              <w:spacing w:before="40" w:after="40" w:line="240" w:lineRule="atLeast"/>
              <w:rPr>
                <w:sz w:val="20"/>
              </w:rPr>
            </w:pPr>
          </w:p>
        </w:tc>
        <w:tc>
          <w:tcPr>
            <w:tcW w:w="1091" w:type="dxa"/>
          </w:tcPr>
          <w:p w14:paraId="4CDD4FB8" w14:textId="77777777" w:rsidR="00C9282F" w:rsidRPr="009911C3" w:rsidRDefault="00C9282F" w:rsidP="003D5AF3">
            <w:pPr>
              <w:spacing w:before="40" w:after="40" w:line="240" w:lineRule="atLeast"/>
              <w:rPr>
                <w:sz w:val="20"/>
              </w:rPr>
            </w:pPr>
          </w:p>
        </w:tc>
        <w:tc>
          <w:tcPr>
            <w:tcW w:w="1092" w:type="dxa"/>
          </w:tcPr>
          <w:p w14:paraId="61481E55" w14:textId="77777777" w:rsidR="00C9282F" w:rsidRPr="009911C3" w:rsidRDefault="00C9282F" w:rsidP="003D5AF3">
            <w:pPr>
              <w:spacing w:before="40" w:after="40" w:line="240" w:lineRule="atLeast"/>
              <w:rPr>
                <w:sz w:val="20"/>
              </w:rPr>
            </w:pPr>
          </w:p>
        </w:tc>
        <w:tc>
          <w:tcPr>
            <w:tcW w:w="1091" w:type="dxa"/>
          </w:tcPr>
          <w:p w14:paraId="26C09093" w14:textId="77777777" w:rsidR="00C9282F" w:rsidRPr="009911C3" w:rsidRDefault="00C9282F" w:rsidP="003D5AF3">
            <w:pPr>
              <w:spacing w:before="40" w:after="40" w:line="240" w:lineRule="atLeast"/>
              <w:rPr>
                <w:sz w:val="20"/>
              </w:rPr>
            </w:pPr>
          </w:p>
        </w:tc>
        <w:tc>
          <w:tcPr>
            <w:tcW w:w="1092" w:type="dxa"/>
          </w:tcPr>
          <w:p w14:paraId="44772E3F" w14:textId="77777777" w:rsidR="00C9282F" w:rsidRPr="009911C3" w:rsidRDefault="00C9282F" w:rsidP="003D5AF3">
            <w:pPr>
              <w:spacing w:before="40" w:after="40" w:line="240" w:lineRule="atLeast"/>
              <w:rPr>
                <w:sz w:val="20"/>
              </w:rPr>
            </w:pPr>
          </w:p>
        </w:tc>
      </w:tr>
      <w:tr w:rsidR="009C584B" w:rsidRPr="00CC1667" w14:paraId="096526BE" w14:textId="77777777" w:rsidTr="0052405E">
        <w:tc>
          <w:tcPr>
            <w:tcW w:w="2807" w:type="dxa"/>
          </w:tcPr>
          <w:p w14:paraId="0011A934" w14:textId="0958D9AB" w:rsidR="009C584B" w:rsidRPr="00AB03B3" w:rsidRDefault="009C584B" w:rsidP="003D5AF3">
            <w:pPr>
              <w:pStyle w:val="TableText"/>
              <w:spacing w:before="40" w:after="40"/>
              <w:rPr>
                <w:i/>
                <w:iCs/>
                <w:color w:val="0000FF"/>
              </w:rPr>
            </w:pPr>
            <w:r>
              <w:rPr>
                <w:i/>
                <w:iCs/>
                <w:color w:val="0000FF"/>
              </w:rPr>
              <w:t>Public value (</w:t>
            </w:r>
            <w:proofErr w:type="spellStart"/>
            <w:r>
              <w:rPr>
                <w:i/>
                <w:iCs/>
                <w:color w:val="0000FF"/>
              </w:rPr>
              <w:t>eg</w:t>
            </w:r>
            <w:proofErr w:type="spellEnd"/>
            <w:r>
              <w:rPr>
                <w:i/>
                <w:iCs/>
                <w:color w:val="0000FF"/>
              </w:rPr>
              <w:t xml:space="preserve"> Wellbeing, Broader procurement outcomes</w:t>
            </w:r>
          </w:p>
        </w:tc>
        <w:tc>
          <w:tcPr>
            <w:tcW w:w="1091" w:type="dxa"/>
          </w:tcPr>
          <w:p w14:paraId="4094DA3A" w14:textId="77777777" w:rsidR="009C584B" w:rsidRDefault="009C584B" w:rsidP="003D5AF3">
            <w:pPr>
              <w:spacing w:before="40" w:after="40" w:line="240" w:lineRule="atLeast"/>
              <w:rPr>
                <w:sz w:val="20"/>
              </w:rPr>
            </w:pPr>
          </w:p>
        </w:tc>
        <w:tc>
          <w:tcPr>
            <w:tcW w:w="1092" w:type="dxa"/>
          </w:tcPr>
          <w:p w14:paraId="2984AE9A" w14:textId="77777777" w:rsidR="009C584B" w:rsidRPr="009911C3" w:rsidRDefault="009C584B" w:rsidP="003D5AF3">
            <w:pPr>
              <w:spacing w:before="40" w:after="40" w:line="240" w:lineRule="atLeast"/>
              <w:rPr>
                <w:sz w:val="20"/>
              </w:rPr>
            </w:pPr>
          </w:p>
        </w:tc>
        <w:tc>
          <w:tcPr>
            <w:tcW w:w="1091" w:type="dxa"/>
          </w:tcPr>
          <w:p w14:paraId="622B0EA7" w14:textId="77777777" w:rsidR="009C584B" w:rsidRPr="009911C3" w:rsidRDefault="009C584B" w:rsidP="003D5AF3">
            <w:pPr>
              <w:spacing w:before="40" w:after="40" w:line="240" w:lineRule="atLeast"/>
              <w:rPr>
                <w:sz w:val="20"/>
              </w:rPr>
            </w:pPr>
          </w:p>
        </w:tc>
        <w:tc>
          <w:tcPr>
            <w:tcW w:w="1092" w:type="dxa"/>
          </w:tcPr>
          <w:p w14:paraId="28DE0C2A" w14:textId="77777777" w:rsidR="009C584B" w:rsidRPr="009911C3" w:rsidRDefault="009C584B" w:rsidP="003D5AF3">
            <w:pPr>
              <w:spacing w:before="40" w:after="40" w:line="240" w:lineRule="atLeast"/>
              <w:rPr>
                <w:sz w:val="20"/>
              </w:rPr>
            </w:pPr>
          </w:p>
        </w:tc>
        <w:tc>
          <w:tcPr>
            <w:tcW w:w="1091" w:type="dxa"/>
          </w:tcPr>
          <w:p w14:paraId="69856585" w14:textId="77777777" w:rsidR="009C584B" w:rsidRPr="009911C3" w:rsidRDefault="009C584B" w:rsidP="003D5AF3">
            <w:pPr>
              <w:spacing w:before="40" w:after="40" w:line="240" w:lineRule="atLeast"/>
              <w:rPr>
                <w:sz w:val="20"/>
              </w:rPr>
            </w:pPr>
          </w:p>
        </w:tc>
        <w:tc>
          <w:tcPr>
            <w:tcW w:w="1092" w:type="dxa"/>
          </w:tcPr>
          <w:p w14:paraId="3D949D59" w14:textId="77777777" w:rsidR="009C584B" w:rsidRPr="009911C3" w:rsidRDefault="009C584B" w:rsidP="003D5AF3">
            <w:pPr>
              <w:spacing w:before="40" w:after="40" w:line="240" w:lineRule="atLeast"/>
              <w:rPr>
                <w:sz w:val="20"/>
              </w:rPr>
            </w:pPr>
          </w:p>
        </w:tc>
      </w:tr>
      <w:tr w:rsidR="00C9282F" w:rsidRPr="00CC1667" w14:paraId="21603CEF" w14:textId="77777777" w:rsidTr="0052405E">
        <w:tc>
          <w:tcPr>
            <w:tcW w:w="2807" w:type="dxa"/>
          </w:tcPr>
          <w:p w14:paraId="4F0670ED" w14:textId="77777777" w:rsidR="00C9282F" w:rsidRDefault="00C9282F" w:rsidP="003D5AF3">
            <w:pPr>
              <w:pStyle w:val="TableHeading"/>
              <w:spacing w:before="40" w:after="40"/>
            </w:pPr>
            <w:r>
              <w:t>Total</w:t>
            </w:r>
          </w:p>
        </w:tc>
        <w:tc>
          <w:tcPr>
            <w:tcW w:w="1091" w:type="dxa"/>
          </w:tcPr>
          <w:p w14:paraId="452719B3" w14:textId="77777777" w:rsidR="00C9282F" w:rsidRDefault="00C9282F" w:rsidP="003D5AF3">
            <w:pPr>
              <w:spacing w:before="40" w:after="40" w:line="240" w:lineRule="atLeast"/>
              <w:rPr>
                <w:sz w:val="20"/>
              </w:rPr>
            </w:pPr>
          </w:p>
        </w:tc>
        <w:tc>
          <w:tcPr>
            <w:tcW w:w="1092" w:type="dxa"/>
          </w:tcPr>
          <w:p w14:paraId="0811CD8F" w14:textId="77777777" w:rsidR="00C9282F" w:rsidRPr="009911C3" w:rsidRDefault="00C9282F" w:rsidP="003D5AF3">
            <w:pPr>
              <w:spacing w:before="40" w:after="40" w:line="240" w:lineRule="atLeast"/>
              <w:rPr>
                <w:sz w:val="20"/>
              </w:rPr>
            </w:pPr>
          </w:p>
        </w:tc>
        <w:tc>
          <w:tcPr>
            <w:tcW w:w="1091" w:type="dxa"/>
          </w:tcPr>
          <w:p w14:paraId="2E079F26" w14:textId="77777777" w:rsidR="00C9282F" w:rsidRPr="009911C3" w:rsidRDefault="00C9282F" w:rsidP="003D5AF3">
            <w:pPr>
              <w:spacing w:before="40" w:after="40" w:line="240" w:lineRule="atLeast"/>
              <w:rPr>
                <w:sz w:val="20"/>
              </w:rPr>
            </w:pPr>
          </w:p>
        </w:tc>
        <w:tc>
          <w:tcPr>
            <w:tcW w:w="1092" w:type="dxa"/>
          </w:tcPr>
          <w:p w14:paraId="7571311E" w14:textId="77777777" w:rsidR="00C9282F" w:rsidRPr="009911C3" w:rsidRDefault="00C9282F" w:rsidP="003D5AF3">
            <w:pPr>
              <w:spacing w:before="40" w:after="40" w:line="240" w:lineRule="atLeast"/>
              <w:rPr>
                <w:sz w:val="20"/>
              </w:rPr>
            </w:pPr>
          </w:p>
        </w:tc>
        <w:tc>
          <w:tcPr>
            <w:tcW w:w="1091" w:type="dxa"/>
          </w:tcPr>
          <w:p w14:paraId="12765492" w14:textId="77777777" w:rsidR="00C9282F" w:rsidRPr="009911C3" w:rsidRDefault="00C9282F" w:rsidP="003D5AF3">
            <w:pPr>
              <w:spacing w:before="40" w:after="40" w:line="240" w:lineRule="atLeast"/>
              <w:rPr>
                <w:sz w:val="20"/>
              </w:rPr>
            </w:pPr>
          </w:p>
        </w:tc>
        <w:tc>
          <w:tcPr>
            <w:tcW w:w="1092" w:type="dxa"/>
          </w:tcPr>
          <w:p w14:paraId="60972480" w14:textId="77777777" w:rsidR="00C9282F" w:rsidRPr="009911C3" w:rsidRDefault="00C9282F" w:rsidP="003D5AF3">
            <w:pPr>
              <w:spacing w:before="40" w:after="40" w:line="240" w:lineRule="atLeast"/>
              <w:rPr>
                <w:sz w:val="20"/>
              </w:rPr>
            </w:pPr>
          </w:p>
        </w:tc>
      </w:tr>
      <w:tr w:rsidR="00C9282F" w:rsidRPr="004C1278" w14:paraId="4C7F7932" w14:textId="77777777" w:rsidTr="0052405E">
        <w:tc>
          <w:tcPr>
            <w:tcW w:w="2807" w:type="dxa"/>
            <w:shd w:val="clear" w:color="auto" w:fill="CCD3E1"/>
            <w:vAlign w:val="bottom"/>
          </w:tcPr>
          <w:p w14:paraId="040E6F06" w14:textId="77777777" w:rsidR="00C9282F" w:rsidRDefault="00C9282F" w:rsidP="003D5AF3">
            <w:pPr>
              <w:pStyle w:val="TableHeading"/>
              <w:spacing w:before="40" w:after="40"/>
            </w:pPr>
            <w:r>
              <w:t>Rank</w:t>
            </w:r>
          </w:p>
        </w:tc>
        <w:tc>
          <w:tcPr>
            <w:tcW w:w="1091" w:type="dxa"/>
            <w:shd w:val="clear" w:color="auto" w:fill="CCD3E1"/>
            <w:vAlign w:val="center"/>
          </w:tcPr>
          <w:p w14:paraId="38C5F69F" w14:textId="77777777" w:rsidR="00C9282F" w:rsidRDefault="00C9282F" w:rsidP="003D5AF3">
            <w:pPr>
              <w:pStyle w:val="TableHeading"/>
              <w:spacing w:before="40" w:after="40"/>
              <w:jc w:val="center"/>
            </w:pPr>
          </w:p>
        </w:tc>
        <w:tc>
          <w:tcPr>
            <w:tcW w:w="1092" w:type="dxa"/>
            <w:shd w:val="clear" w:color="auto" w:fill="CCD3E1"/>
            <w:vAlign w:val="center"/>
          </w:tcPr>
          <w:p w14:paraId="1D930981" w14:textId="77777777" w:rsidR="00C9282F" w:rsidRDefault="00C9282F" w:rsidP="003D5AF3">
            <w:pPr>
              <w:pStyle w:val="TableHeading"/>
              <w:spacing w:before="40" w:after="40"/>
              <w:jc w:val="center"/>
            </w:pPr>
          </w:p>
        </w:tc>
        <w:tc>
          <w:tcPr>
            <w:tcW w:w="1091" w:type="dxa"/>
            <w:shd w:val="clear" w:color="auto" w:fill="CCD3E1"/>
            <w:vAlign w:val="center"/>
          </w:tcPr>
          <w:p w14:paraId="2CE0683D" w14:textId="77777777" w:rsidR="00C9282F" w:rsidRDefault="00C9282F" w:rsidP="003D5AF3">
            <w:pPr>
              <w:pStyle w:val="TableHeading"/>
              <w:spacing w:before="40" w:after="40"/>
              <w:jc w:val="center"/>
            </w:pPr>
          </w:p>
        </w:tc>
        <w:tc>
          <w:tcPr>
            <w:tcW w:w="1092" w:type="dxa"/>
            <w:shd w:val="clear" w:color="auto" w:fill="CCD3E1"/>
            <w:vAlign w:val="center"/>
          </w:tcPr>
          <w:p w14:paraId="380BC5DA" w14:textId="77777777" w:rsidR="00C9282F" w:rsidRDefault="00C9282F" w:rsidP="003D5AF3">
            <w:pPr>
              <w:pStyle w:val="TableHeading"/>
              <w:spacing w:before="40" w:after="40"/>
              <w:jc w:val="center"/>
            </w:pPr>
          </w:p>
        </w:tc>
        <w:tc>
          <w:tcPr>
            <w:tcW w:w="1091" w:type="dxa"/>
            <w:shd w:val="clear" w:color="auto" w:fill="CCD3E1"/>
            <w:vAlign w:val="center"/>
          </w:tcPr>
          <w:p w14:paraId="36B1FFEE" w14:textId="77777777" w:rsidR="00C9282F" w:rsidRDefault="00C9282F" w:rsidP="003D5AF3">
            <w:pPr>
              <w:pStyle w:val="TableHeading"/>
              <w:spacing w:before="40" w:after="40"/>
              <w:jc w:val="center"/>
            </w:pPr>
          </w:p>
        </w:tc>
        <w:tc>
          <w:tcPr>
            <w:tcW w:w="1092" w:type="dxa"/>
            <w:shd w:val="clear" w:color="auto" w:fill="CCD3E1"/>
            <w:vAlign w:val="center"/>
          </w:tcPr>
          <w:p w14:paraId="65B42F17" w14:textId="77777777" w:rsidR="00C9282F" w:rsidRDefault="00C9282F" w:rsidP="003D5AF3">
            <w:pPr>
              <w:pStyle w:val="TableHeading"/>
              <w:spacing w:before="40" w:after="40"/>
              <w:jc w:val="center"/>
            </w:pPr>
          </w:p>
        </w:tc>
      </w:tr>
    </w:tbl>
    <w:p w14:paraId="515945F6" w14:textId="77777777" w:rsidR="00C9282F" w:rsidRDefault="00C9282F" w:rsidP="00C9282F">
      <w:pPr>
        <w:rPr>
          <w:rStyle w:val="Emphasis"/>
          <w:i w:val="0"/>
        </w:rPr>
      </w:pPr>
    </w:p>
    <w:p w14:paraId="1DAFDDF0" w14:textId="77777777" w:rsidR="00C734E4" w:rsidRDefault="000F236C" w:rsidP="00F26D2B">
      <w:pPr>
        <w:keepNext/>
        <w:rPr>
          <w:rStyle w:val="Emphasis"/>
          <w:i w:val="0"/>
        </w:rPr>
      </w:pPr>
      <w:r>
        <w:rPr>
          <w:rStyle w:val="Emphasis"/>
          <w:i w:val="0"/>
        </w:rPr>
        <w:t>The key supplier risks were also assessed</w:t>
      </w:r>
      <w:r w:rsidR="0004505A">
        <w:rPr>
          <w:rStyle w:val="Emphasis"/>
          <w:i w:val="0"/>
        </w:rPr>
        <w:t xml:space="preserve"> as follows:</w:t>
      </w:r>
    </w:p>
    <w:p w14:paraId="7EE2118E" w14:textId="572028F5" w:rsidR="00C9282F" w:rsidRPr="00CC1667" w:rsidRDefault="00C9282F" w:rsidP="00414BEF">
      <w:pPr>
        <w:pStyle w:val="TableHeading1"/>
        <w:spacing w:after="60" w:line="240" w:lineRule="auto"/>
      </w:pPr>
      <w:r w:rsidRPr="0004505A">
        <w:t>Ta</w:t>
      </w:r>
      <w:r w:rsidR="001A4F72" w:rsidRPr="0004505A">
        <w:t xml:space="preserve">ble </w:t>
      </w:r>
      <w:r w:rsidR="001A4F72" w:rsidRPr="00884C48">
        <w:rPr>
          <w:highlight w:val="yellow"/>
        </w:rPr>
        <w:t>x</w:t>
      </w:r>
      <w:r w:rsidRPr="0004505A">
        <w:t xml:space="preserve">: </w:t>
      </w:r>
      <w:r w:rsidR="000F236C" w:rsidRPr="00884C48">
        <w:rPr>
          <w:b w:val="0"/>
        </w:rPr>
        <w:t>Summary</w:t>
      </w:r>
      <w:r w:rsidRPr="00884C48">
        <w:rPr>
          <w:b w:val="0"/>
        </w:rPr>
        <w:t xml:space="preserve"> results of supplier risk</w:t>
      </w:r>
      <w:r w:rsidR="000F236C" w:rsidRPr="00884C48">
        <w:rPr>
          <w:b w:val="0"/>
        </w:rPr>
        <w:t xml:space="preserve"> </w:t>
      </w:r>
      <w:r w:rsidR="0004505A" w:rsidRPr="00884C48">
        <w:rPr>
          <w:b w:val="0"/>
        </w:rPr>
        <w:t xml:space="preserve">assessment </w:t>
      </w:r>
      <w:r w:rsidR="0004505A" w:rsidRPr="00884C48">
        <w:rPr>
          <w:b w:val="0"/>
          <w:i/>
        </w:rPr>
        <w:t>–</w:t>
      </w:r>
      <w:r w:rsidR="0052405E">
        <w:rPr>
          <w:b w:val="0"/>
          <w:i/>
        </w:rPr>
        <w:t xml:space="preserve"> </w:t>
      </w:r>
      <w:r w:rsidR="0004505A" w:rsidRPr="00884C48">
        <w:rPr>
          <w:b w:val="0"/>
          <w:i/>
          <w:color w:val="0000FF"/>
        </w:rPr>
        <w:t>sample</w:t>
      </w:r>
      <w:r w:rsidR="0004505A" w:rsidRPr="00884C48">
        <w:rPr>
          <w:i/>
          <w:color w:val="0000FF"/>
        </w:rPr>
        <w:t xml:space="preserve"> </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left w:w="57" w:type="dxa"/>
          <w:right w:w="57" w:type="dxa"/>
        </w:tblCellMar>
        <w:tblLook w:val="04A0" w:firstRow="1" w:lastRow="0" w:firstColumn="1" w:lastColumn="0" w:noHBand="0" w:noVBand="1"/>
      </w:tblPr>
      <w:tblGrid>
        <w:gridCol w:w="2515"/>
        <w:gridCol w:w="1211"/>
        <w:gridCol w:w="933"/>
        <w:gridCol w:w="934"/>
        <w:gridCol w:w="935"/>
        <w:gridCol w:w="934"/>
        <w:gridCol w:w="934"/>
        <w:gridCol w:w="960"/>
      </w:tblGrid>
      <w:tr w:rsidR="008B6DF5" w:rsidRPr="004C1278" w14:paraId="1D0BB89C" w14:textId="77777777" w:rsidTr="0052405E">
        <w:tc>
          <w:tcPr>
            <w:tcW w:w="2523" w:type="dxa"/>
            <w:shd w:val="clear" w:color="auto" w:fill="CCD3E1"/>
            <w:vAlign w:val="bottom"/>
          </w:tcPr>
          <w:p w14:paraId="41C87ED4" w14:textId="77777777" w:rsidR="008B6DF5" w:rsidRPr="009911C3" w:rsidRDefault="008B6DF5" w:rsidP="003D5AF3">
            <w:pPr>
              <w:pStyle w:val="TableHeading"/>
              <w:keepNext/>
              <w:spacing w:before="40" w:after="40"/>
              <w:jc w:val="right"/>
            </w:pPr>
          </w:p>
        </w:tc>
        <w:tc>
          <w:tcPr>
            <w:tcW w:w="1215" w:type="dxa"/>
            <w:shd w:val="clear" w:color="auto" w:fill="CCD3E1"/>
            <w:vAlign w:val="center"/>
          </w:tcPr>
          <w:p w14:paraId="43B669CD" w14:textId="77777777" w:rsidR="008B6DF5" w:rsidRPr="00C43D82" w:rsidRDefault="008B6DF5" w:rsidP="003D5AF3">
            <w:pPr>
              <w:pStyle w:val="TableHeading"/>
              <w:keepNext/>
              <w:spacing w:before="40" w:after="40"/>
              <w:jc w:val="center"/>
              <w:rPr>
                <w:b w:val="0"/>
              </w:rPr>
            </w:pPr>
            <w:r w:rsidRPr="00C43D82">
              <w:rPr>
                <w:b w:val="0"/>
                <w:sz w:val="18"/>
              </w:rPr>
              <w:t>consequence</w:t>
            </w:r>
          </w:p>
        </w:tc>
        <w:tc>
          <w:tcPr>
            <w:tcW w:w="5618" w:type="dxa"/>
            <w:gridSpan w:val="6"/>
            <w:shd w:val="clear" w:color="auto" w:fill="B5BFD3"/>
            <w:vAlign w:val="center"/>
          </w:tcPr>
          <w:p w14:paraId="4805AEB2" w14:textId="77777777" w:rsidR="008B6DF5" w:rsidRPr="001A4652" w:rsidRDefault="008B6DF5" w:rsidP="003D5AF3">
            <w:pPr>
              <w:pStyle w:val="TableHeading"/>
              <w:keepNext/>
              <w:spacing w:before="40" w:after="40"/>
              <w:jc w:val="center"/>
              <w:rPr>
                <w:b w:val="0"/>
              </w:rPr>
            </w:pPr>
            <w:r w:rsidRPr="001A4652">
              <w:rPr>
                <w:b w:val="0"/>
              </w:rPr>
              <w:t>Supplier probability%</w:t>
            </w:r>
          </w:p>
        </w:tc>
      </w:tr>
      <w:tr w:rsidR="00C9282F" w:rsidRPr="004C1278" w14:paraId="3F6B6EF1" w14:textId="77777777" w:rsidTr="0052405E">
        <w:tc>
          <w:tcPr>
            <w:tcW w:w="2523" w:type="dxa"/>
            <w:shd w:val="clear" w:color="auto" w:fill="CCD3E1"/>
            <w:vAlign w:val="bottom"/>
          </w:tcPr>
          <w:p w14:paraId="65B5F942" w14:textId="77777777" w:rsidR="00C9282F" w:rsidRDefault="00C43D82" w:rsidP="003D5AF3">
            <w:pPr>
              <w:pStyle w:val="TableHeading"/>
              <w:keepNext/>
              <w:spacing w:before="40" w:after="40"/>
            </w:pPr>
            <w:r>
              <w:t>Risk Description</w:t>
            </w:r>
          </w:p>
        </w:tc>
        <w:tc>
          <w:tcPr>
            <w:tcW w:w="1215" w:type="dxa"/>
            <w:shd w:val="clear" w:color="auto" w:fill="CCD3E1"/>
            <w:vAlign w:val="center"/>
          </w:tcPr>
          <w:p w14:paraId="112848D9" w14:textId="77777777" w:rsidR="00C9282F" w:rsidRPr="00C43D82" w:rsidRDefault="00C9282F" w:rsidP="003D5AF3">
            <w:pPr>
              <w:pStyle w:val="TableHeading"/>
              <w:keepNext/>
              <w:spacing w:before="40" w:after="40"/>
              <w:jc w:val="center"/>
              <w:rPr>
                <w:b w:val="0"/>
              </w:rPr>
            </w:pPr>
            <w:r w:rsidRPr="00C43D82">
              <w:rPr>
                <w:b w:val="0"/>
              </w:rPr>
              <w:t>$000</w:t>
            </w:r>
          </w:p>
        </w:tc>
        <w:tc>
          <w:tcPr>
            <w:tcW w:w="936" w:type="dxa"/>
            <w:shd w:val="clear" w:color="auto" w:fill="CCD3E1"/>
            <w:vAlign w:val="center"/>
          </w:tcPr>
          <w:p w14:paraId="517F6793" w14:textId="77777777" w:rsidR="00C9282F" w:rsidRPr="008B6DF5" w:rsidRDefault="008B6DF5" w:rsidP="003D5AF3">
            <w:pPr>
              <w:pStyle w:val="TableHeading"/>
              <w:keepNext/>
              <w:spacing w:before="40" w:after="40"/>
              <w:jc w:val="center"/>
            </w:pPr>
            <w:r w:rsidRPr="008B6DF5">
              <w:t>1</w:t>
            </w:r>
          </w:p>
        </w:tc>
        <w:tc>
          <w:tcPr>
            <w:tcW w:w="936" w:type="dxa"/>
            <w:shd w:val="clear" w:color="auto" w:fill="CCD3E1"/>
            <w:vAlign w:val="center"/>
          </w:tcPr>
          <w:p w14:paraId="1FB55BD4" w14:textId="77777777" w:rsidR="00C9282F" w:rsidRPr="008B6DF5" w:rsidRDefault="008B6DF5" w:rsidP="003D5AF3">
            <w:pPr>
              <w:pStyle w:val="TableHeading"/>
              <w:keepNext/>
              <w:spacing w:before="40" w:after="40"/>
              <w:jc w:val="center"/>
            </w:pPr>
            <w:r w:rsidRPr="008B6DF5">
              <w:t>2</w:t>
            </w:r>
          </w:p>
        </w:tc>
        <w:tc>
          <w:tcPr>
            <w:tcW w:w="937" w:type="dxa"/>
            <w:shd w:val="clear" w:color="auto" w:fill="CCD3E1"/>
            <w:vAlign w:val="center"/>
          </w:tcPr>
          <w:p w14:paraId="0B909D4D" w14:textId="77777777" w:rsidR="00C9282F" w:rsidRPr="008B6DF5" w:rsidRDefault="008B6DF5" w:rsidP="003D5AF3">
            <w:pPr>
              <w:pStyle w:val="TableHeading"/>
              <w:keepNext/>
              <w:spacing w:before="40" w:after="40"/>
              <w:jc w:val="center"/>
            </w:pPr>
            <w:r w:rsidRPr="008B6DF5">
              <w:t>3</w:t>
            </w:r>
          </w:p>
        </w:tc>
        <w:tc>
          <w:tcPr>
            <w:tcW w:w="936" w:type="dxa"/>
            <w:shd w:val="clear" w:color="auto" w:fill="CCD3E1"/>
            <w:vAlign w:val="center"/>
          </w:tcPr>
          <w:p w14:paraId="45EF38D0" w14:textId="77777777" w:rsidR="00C9282F" w:rsidRPr="008B6DF5" w:rsidRDefault="008B6DF5" w:rsidP="003D5AF3">
            <w:pPr>
              <w:pStyle w:val="TableHeading"/>
              <w:keepNext/>
              <w:spacing w:before="40" w:after="40"/>
              <w:jc w:val="center"/>
            </w:pPr>
            <w:r w:rsidRPr="008B6DF5">
              <w:t>4</w:t>
            </w:r>
          </w:p>
        </w:tc>
        <w:tc>
          <w:tcPr>
            <w:tcW w:w="936" w:type="dxa"/>
            <w:shd w:val="clear" w:color="auto" w:fill="CCD3E1"/>
            <w:vAlign w:val="center"/>
          </w:tcPr>
          <w:p w14:paraId="056352FE" w14:textId="77777777" w:rsidR="00C9282F" w:rsidRPr="008B6DF5" w:rsidRDefault="008B6DF5" w:rsidP="003D5AF3">
            <w:pPr>
              <w:pStyle w:val="TableHeading"/>
              <w:keepNext/>
              <w:spacing w:before="40" w:after="40"/>
              <w:jc w:val="center"/>
            </w:pPr>
            <w:r w:rsidRPr="008B6DF5">
              <w:t>5</w:t>
            </w:r>
          </w:p>
        </w:tc>
        <w:tc>
          <w:tcPr>
            <w:tcW w:w="937" w:type="dxa"/>
            <w:shd w:val="clear" w:color="auto" w:fill="CCD3E1"/>
            <w:vAlign w:val="center"/>
          </w:tcPr>
          <w:p w14:paraId="4E737C11" w14:textId="77777777" w:rsidR="00C9282F" w:rsidRPr="008B6DF5" w:rsidRDefault="008B6DF5" w:rsidP="003D5AF3">
            <w:pPr>
              <w:pStyle w:val="TableHeading"/>
              <w:keepNext/>
              <w:spacing w:before="40" w:after="40"/>
              <w:jc w:val="center"/>
            </w:pPr>
            <w:r w:rsidRPr="008B6DF5">
              <w:t>6</w:t>
            </w:r>
          </w:p>
        </w:tc>
      </w:tr>
      <w:tr w:rsidR="00C9282F" w:rsidRPr="00CC1667" w14:paraId="48A5E40B" w14:textId="77777777" w:rsidTr="0052405E">
        <w:tc>
          <w:tcPr>
            <w:tcW w:w="2523" w:type="dxa"/>
          </w:tcPr>
          <w:p w14:paraId="178BFA6E" w14:textId="77777777" w:rsidR="00C9282F" w:rsidRPr="009911C3" w:rsidRDefault="00C9282F" w:rsidP="003D5AF3">
            <w:pPr>
              <w:pStyle w:val="TableText"/>
              <w:spacing w:before="40" w:after="40"/>
            </w:pPr>
            <w:r>
              <w:t>Risk one</w:t>
            </w:r>
          </w:p>
        </w:tc>
        <w:tc>
          <w:tcPr>
            <w:tcW w:w="1215" w:type="dxa"/>
          </w:tcPr>
          <w:p w14:paraId="7013107F" w14:textId="77777777" w:rsidR="00C9282F" w:rsidRPr="00B51A7E" w:rsidRDefault="00C9282F" w:rsidP="003D5AF3">
            <w:pPr>
              <w:pStyle w:val="TableBullet"/>
              <w:numPr>
                <w:ilvl w:val="0"/>
                <w:numId w:val="0"/>
              </w:numPr>
              <w:spacing w:before="40" w:after="40" w:line="240" w:lineRule="atLeast"/>
              <w:ind w:left="227" w:hanging="227"/>
              <w:jc w:val="right"/>
            </w:pPr>
          </w:p>
        </w:tc>
        <w:tc>
          <w:tcPr>
            <w:tcW w:w="936" w:type="dxa"/>
          </w:tcPr>
          <w:p w14:paraId="266CBD5E" w14:textId="77777777" w:rsidR="00C9282F" w:rsidRPr="009911C3" w:rsidRDefault="00C9282F" w:rsidP="003D5AF3">
            <w:pPr>
              <w:spacing w:before="40" w:after="40" w:line="240" w:lineRule="atLeast"/>
              <w:jc w:val="center"/>
              <w:rPr>
                <w:sz w:val="20"/>
              </w:rPr>
            </w:pPr>
          </w:p>
        </w:tc>
        <w:tc>
          <w:tcPr>
            <w:tcW w:w="936" w:type="dxa"/>
          </w:tcPr>
          <w:p w14:paraId="34A981E9" w14:textId="77777777" w:rsidR="00C9282F" w:rsidRPr="009911C3" w:rsidRDefault="00C9282F" w:rsidP="003D5AF3">
            <w:pPr>
              <w:spacing w:before="40" w:after="40" w:line="240" w:lineRule="atLeast"/>
              <w:jc w:val="center"/>
              <w:rPr>
                <w:sz w:val="20"/>
              </w:rPr>
            </w:pPr>
          </w:p>
        </w:tc>
        <w:tc>
          <w:tcPr>
            <w:tcW w:w="937" w:type="dxa"/>
          </w:tcPr>
          <w:p w14:paraId="65E99B6A" w14:textId="77777777" w:rsidR="00C9282F" w:rsidRPr="009911C3" w:rsidRDefault="00C9282F" w:rsidP="003D5AF3">
            <w:pPr>
              <w:spacing w:before="40" w:after="40" w:line="240" w:lineRule="atLeast"/>
              <w:jc w:val="center"/>
              <w:rPr>
                <w:sz w:val="20"/>
              </w:rPr>
            </w:pPr>
          </w:p>
        </w:tc>
        <w:tc>
          <w:tcPr>
            <w:tcW w:w="936" w:type="dxa"/>
          </w:tcPr>
          <w:p w14:paraId="4DFC0E32" w14:textId="77777777" w:rsidR="00C9282F" w:rsidRPr="009911C3" w:rsidRDefault="00C9282F" w:rsidP="003D5AF3">
            <w:pPr>
              <w:spacing w:before="40" w:after="40" w:line="240" w:lineRule="atLeast"/>
              <w:jc w:val="center"/>
              <w:rPr>
                <w:sz w:val="20"/>
              </w:rPr>
            </w:pPr>
          </w:p>
        </w:tc>
        <w:tc>
          <w:tcPr>
            <w:tcW w:w="936" w:type="dxa"/>
          </w:tcPr>
          <w:p w14:paraId="59B96217" w14:textId="77777777" w:rsidR="00C9282F" w:rsidRPr="009911C3" w:rsidRDefault="00C9282F" w:rsidP="003D5AF3">
            <w:pPr>
              <w:spacing w:before="40" w:after="40" w:line="240" w:lineRule="atLeast"/>
              <w:jc w:val="center"/>
              <w:rPr>
                <w:sz w:val="20"/>
              </w:rPr>
            </w:pPr>
          </w:p>
        </w:tc>
        <w:tc>
          <w:tcPr>
            <w:tcW w:w="937" w:type="dxa"/>
          </w:tcPr>
          <w:p w14:paraId="37F4E299" w14:textId="77777777" w:rsidR="00C9282F" w:rsidRPr="009911C3" w:rsidRDefault="00C9282F" w:rsidP="003D5AF3">
            <w:pPr>
              <w:spacing w:before="40" w:after="40" w:line="240" w:lineRule="atLeast"/>
              <w:jc w:val="center"/>
              <w:rPr>
                <w:sz w:val="20"/>
              </w:rPr>
            </w:pPr>
          </w:p>
        </w:tc>
      </w:tr>
      <w:tr w:rsidR="00C9282F" w:rsidRPr="00CC1667" w14:paraId="58A67B0C" w14:textId="77777777" w:rsidTr="0052405E">
        <w:tc>
          <w:tcPr>
            <w:tcW w:w="2523" w:type="dxa"/>
          </w:tcPr>
          <w:p w14:paraId="1F2A5962" w14:textId="77777777" w:rsidR="00C9282F" w:rsidRDefault="00C9282F" w:rsidP="003D5AF3">
            <w:pPr>
              <w:pStyle w:val="TableText"/>
              <w:spacing w:before="40" w:after="40"/>
            </w:pPr>
            <w:r>
              <w:lastRenderedPageBreak/>
              <w:t>Risk two</w:t>
            </w:r>
          </w:p>
        </w:tc>
        <w:tc>
          <w:tcPr>
            <w:tcW w:w="1215" w:type="dxa"/>
          </w:tcPr>
          <w:p w14:paraId="36B3C0D8" w14:textId="77777777" w:rsidR="00C9282F" w:rsidRDefault="00C9282F" w:rsidP="003D5AF3">
            <w:pPr>
              <w:spacing w:before="40" w:after="40" w:line="240" w:lineRule="atLeast"/>
              <w:jc w:val="right"/>
              <w:rPr>
                <w:sz w:val="20"/>
              </w:rPr>
            </w:pPr>
          </w:p>
        </w:tc>
        <w:tc>
          <w:tcPr>
            <w:tcW w:w="936" w:type="dxa"/>
          </w:tcPr>
          <w:p w14:paraId="28F9F9CF" w14:textId="77777777" w:rsidR="00C9282F" w:rsidRPr="009911C3" w:rsidRDefault="00C9282F" w:rsidP="003D5AF3">
            <w:pPr>
              <w:spacing w:before="40" w:after="40" w:line="240" w:lineRule="atLeast"/>
              <w:jc w:val="center"/>
              <w:rPr>
                <w:sz w:val="20"/>
              </w:rPr>
            </w:pPr>
          </w:p>
        </w:tc>
        <w:tc>
          <w:tcPr>
            <w:tcW w:w="936" w:type="dxa"/>
          </w:tcPr>
          <w:p w14:paraId="18F13DCA" w14:textId="77777777" w:rsidR="00C9282F" w:rsidRPr="009911C3" w:rsidRDefault="00C9282F" w:rsidP="003D5AF3">
            <w:pPr>
              <w:spacing w:before="40" w:after="40" w:line="240" w:lineRule="atLeast"/>
              <w:jc w:val="center"/>
              <w:rPr>
                <w:sz w:val="20"/>
              </w:rPr>
            </w:pPr>
          </w:p>
        </w:tc>
        <w:tc>
          <w:tcPr>
            <w:tcW w:w="937" w:type="dxa"/>
          </w:tcPr>
          <w:p w14:paraId="79DC1BB6" w14:textId="77777777" w:rsidR="00C9282F" w:rsidRPr="009911C3" w:rsidRDefault="00C9282F" w:rsidP="003D5AF3">
            <w:pPr>
              <w:spacing w:before="40" w:after="40" w:line="240" w:lineRule="atLeast"/>
              <w:jc w:val="center"/>
              <w:rPr>
                <w:sz w:val="20"/>
              </w:rPr>
            </w:pPr>
          </w:p>
        </w:tc>
        <w:tc>
          <w:tcPr>
            <w:tcW w:w="936" w:type="dxa"/>
          </w:tcPr>
          <w:p w14:paraId="0C201134" w14:textId="77777777" w:rsidR="00C9282F" w:rsidRPr="009911C3" w:rsidRDefault="00C9282F" w:rsidP="003D5AF3">
            <w:pPr>
              <w:spacing w:before="40" w:after="40" w:line="240" w:lineRule="atLeast"/>
              <w:jc w:val="center"/>
              <w:rPr>
                <w:sz w:val="20"/>
              </w:rPr>
            </w:pPr>
          </w:p>
        </w:tc>
        <w:tc>
          <w:tcPr>
            <w:tcW w:w="936" w:type="dxa"/>
          </w:tcPr>
          <w:p w14:paraId="4540A393" w14:textId="77777777" w:rsidR="00C9282F" w:rsidRPr="009911C3" w:rsidRDefault="00C9282F" w:rsidP="003D5AF3">
            <w:pPr>
              <w:spacing w:before="40" w:after="40" w:line="240" w:lineRule="atLeast"/>
              <w:jc w:val="center"/>
              <w:rPr>
                <w:sz w:val="20"/>
              </w:rPr>
            </w:pPr>
          </w:p>
        </w:tc>
        <w:tc>
          <w:tcPr>
            <w:tcW w:w="937" w:type="dxa"/>
          </w:tcPr>
          <w:p w14:paraId="5BD01445" w14:textId="77777777" w:rsidR="00C9282F" w:rsidRPr="009911C3" w:rsidRDefault="00C9282F" w:rsidP="003D5AF3">
            <w:pPr>
              <w:spacing w:before="40" w:after="40" w:line="240" w:lineRule="atLeast"/>
              <w:jc w:val="center"/>
              <w:rPr>
                <w:sz w:val="20"/>
              </w:rPr>
            </w:pPr>
          </w:p>
        </w:tc>
      </w:tr>
      <w:tr w:rsidR="00C9282F" w:rsidRPr="00CC1667" w14:paraId="252EA8F1" w14:textId="77777777" w:rsidTr="0052405E">
        <w:tc>
          <w:tcPr>
            <w:tcW w:w="2523" w:type="dxa"/>
          </w:tcPr>
          <w:p w14:paraId="05CB6F5A" w14:textId="77777777" w:rsidR="00C9282F" w:rsidRDefault="00C9282F" w:rsidP="003D5AF3">
            <w:pPr>
              <w:pStyle w:val="TableText"/>
              <w:spacing w:before="40" w:after="40"/>
            </w:pPr>
            <w:r>
              <w:t>……..</w:t>
            </w:r>
          </w:p>
        </w:tc>
        <w:tc>
          <w:tcPr>
            <w:tcW w:w="1215" w:type="dxa"/>
          </w:tcPr>
          <w:p w14:paraId="687B8A10" w14:textId="77777777" w:rsidR="00C9282F" w:rsidRDefault="00C9282F" w:rsidP="003D5AF3">
            <w:pPr>
              <w:spacing w:before="40" w:after="40" w:line="240" w:lineRule="atLeast"/>
              <w:jc w:val="right"/>
              <w:rPr>
                <w:sz w:val="20"/>
              </w:rPr>
            </w:pPr>
          </w:p>
        </w:tc>
        <w:tc>
          <w:tcPr>
            <w:tcW w:w="936" w:type="dxa"/>
          </w:tcPr>
          <w:p w14:paraId="666C74C2" w14:textId="77777777" w:rsidR="00C9282F" w:rsidRPr="009911C3" w:rsidRDefault="00C9282F" w:rsidP="003D5AF3">
            <w:pPr>
              <w:spacing w:before="40" w:after="40" w:line="240" w:lineRule="atLeast"/>
              <w:jc w:val="center"/>
              <w:rPr>
                <w:sz w:val="20"/>
              </w:rPr>
            </w:pPr>
          </w:p>
        </w:tc>
        <w:tc>
          <w:tcPr>
            <w:tcW w:w="936" w:type="dxa"/>
          </w:tcPr>
          <w:p w14:paraId="69C8145C" w14:textId="77777777" w:rsidR="00C9282F" w:rsidRPr="009911C3" w:rsidRDefault="00C9282F" w:rsidP="003D5AF3">
            <w:pPr>
              <w:spacing w:before="40" w:after="40" w:line="240" w:lineRule="atLeast"/>
              <w:jc w:val="center"/>
              <w:rPr>
                <w:sz w:val="20"/>
              </w:rPr>
            </w:pPr>
          </w:p>
        </w:tc>
        <w:tc>
          <w:tcPr>
            <w:tcW w:w="937" w:type="dxa"/>
          </w:tcPr>
          <w:p w14:paraId="3BC1FE1D" w14:textId="77777777" w:rsidR="00C9282F" w:rsidRPr="009911C3" w:rsidRDefault="00C9282F" w:rsidP="003D5AF3">
            <w:pPr>
              <w:spacing w:before="40" w:after="40" w:line="240" w:lineRule="atLeast"/>
              <w:jc w:val="center"/>
              <w:rPr>
                <w:sz w:val="20"/>
              </w:rPr>
            </w:pPr>
          </w:p>
        </w:tc>
        <w:tc>
          <w:tcPr>
            <w:tcW w:w="936" w:type="dxa"/>
          </w:tcPr>
          <w:p w14:paraId="1C3E7F92" w14:textId="77777777" w:rsidR="00C9282F" w:rsidRPr="009911C3" w:rsidRDefault="00C9282F" w:rsidP="003D5AF3">
            <w:pPr>
              <w:spacing w:before="40" w:after="40" w:line="240" w:lineRule="atLeast"/>
              <w:jc w:val="center"/>
              <w:rPr>
                <w:sz w:val="20"/>
              </w:rPr>
            </w:pPr>
          </w:p>
        </w:tc>
        <w:tc>
          <w:tcPr>
            <w:tcW w:w="936" w:type="dxa"/>
          </w:tcPr>
          <w:p w14:paraId="24B0C022" w14:textId="77777777" w:rsidR="00C9282F" w:rsidRPr="009911C3" w:rsidRDefault="00C9282F" w:rsidP="003D5AF3">
            <w:pPr>
              <w:spacing w:before="40" w:after="40" w:line="240" w:lineRule="atLeast"/>
              <w:jc w:val="center"/>
              <w:rPr>
                <w:sz w:val="20"/>
              </w:rPr>
            </w:pPr>
          </w:p>
        </w:tc>
        <w:tc>
          <w:tcPr>
            <w:tcW w:w="937" w:type="dxa"/>
          </w:tcPr>
          <w:p w14:paraId="2BC7A5C1" w14:textId="77777777" w:rsidR="00C9282F" w:rsidRPr="009911C3" w:rsidRDefault="00C9282F" w:rsidP="003D5AF3">
            <w:pPr>
              <w:spacing w:before="40" w:after="40" w:line="240" w:lineRule="atLeast"/>
              <w:jc w:val="center"/>
              <w:rPr>
                <w:sz w:val="20"/>
              </w:rPr>
            </w:pPr>
          </w:p>
        </w:tc>
      </w:tr>
      <w:tr w:rsidR="00C9282F" w:rsidRPr="00CC1667" w14:paraId="4BEEA536" w14:textId="77777777" w:rsidTr="0052405E">
        <w:tc>
          <w:tcPr>
            <w:tcW w:w="2523" w:type="dxa"/>
          </w:tcPr>
          <w:p w14:paraId="0A13F880" w14:textId="77777777" w:rsidR="00C9282F" w:rsidRDefault="00C9282F" w:rsidP="003D5AF3">
            <w:pPr>
              <w:pStyle w:val="TableText"/>
              <w:spacing w:before="40" w:after="40"/>
            </w:pPr>
            <w:r>
              <w:t>……..</w:t>
            </w:r>
          </w:p>
        </w:tc>
        <w:tc>
          <w:tcPr>
            <w:tcW w:w="1215" w:type="dxa"/>
          </w:tcPr>
          <w:p w14:paraId="3B30FCE6" w14:textId="77777777" w:rsidR="00C9282F" w:rsidRDefault="00C9282F" w:rsidP="003D5AF3">
            <w:pPr>
              <w:spacing w:before="40" w:after="40" w:line="240" w:lineRule="atLeast"/>
              <w:jc w:val="right"/>
              <w:rPr>
                <w:sz w:val="20"/>
              </w:rPr>
            </w:pPr>
          </w:p>
        </w:tc>
        <w:tc>
          <w:tcPr>
            <w:tcW w:w="931" w:type="dxa"/>
          </w:tcPr>
          <w:p w14:paraId="6162D872" w14:textId="77777777" w:rsidR="00C9282F" w:rsidRPr="009911C3" w:rsidRDefault="00C9282F" w:rsidP="003D5AF3">
            <w:pPr>
              <w:spacing w:before="40" w:after="40" w:line="240" w:lineRule="atLeast"/>
              <w:jc w:val="center"/>
              <w:rPr>
                <w:sz w:val="20"/>
              </w:rPr>
            </w:pPr>
          </w:p>
        </w:tc>
        <w:tc>
          <w:tcPr>
            <w:tcW w:w="931" w:type="dxa"/>
          </w:tcPr>
          <w:p w14:paraId="281685E7" w14:textId="77777777" w:rsidR="00C9282F" w:rsidRPr="009911C3" w:rsidRDefault="00C9282F" w:rsidP="003D5AF3">
            <w:pPr>
              <w:spacing w:before="40" w:after="40" w:line="240" w:lineRule="atLeast"/>
              <w:jc w:val="center"/>
              <w:rPr>
                <w:sz w:val="20"/>
              </w:rPr>
            </w:pPr>
          </w:p>
        </w:tc>
        <w:tc>
          <w:tcPr>
            <w:tcW w:w="932" w:type="dxa"/>
          </w:tcPr>
          <w:p w14:paraId="031BA565" w14:textId="77777777" w:rsidR="00C9282F" w:rsidRPr="009911C3" w:rsidRDefault="00C9282F" w:rsidP="003D5AF3">
            <w:pPr>
              <w:spacing w:before="40" w:after="40" w:line="240" w:lineRule="atLeast"/>
              <w:jc w:val="center"/>
              <w:rPr>
                <w:sz w:val="20"/>
              </w:rPr>
            </w:pPr>
          </w:p>
        </w:tc>
        <w:tc>
          <w:tcPr>
            <w:tcW w:w="931" w:type="dxa"/>
          </w:tcPr>
          <w:p w14:paraId="56A4C930" w14:textId="77777777" w:rsidR="00C9282F" w:rsidRPr="009911C3" w:rsidRDefault="00C9282F" w:rsidP="003D5AF3">
            <w:pPr>
              <w:spacing w:before="40" w:after="40" w:line="240" w:lineRule="atLeast"/>
              <w:jc w:val="center"/>
              <w:rPr>
                <w:sz w:val="20"/>
              </w:rPr>
            </w:pPr>
          </w:p>
        </w:tc>
        <w:tc>
          <w:tcPr>
            <w:tcW w:w="931" w:type="dxa"/>
          </w:tcPr>
          <w:p w14:paraId="0AC72ACF" w14:textId="77777777" w:rsidR="00C9282F" w:rsidRPr="009911C3" w:rsidRDefault="00C9282F" w:rsidP="003D5AF3">
            <w:pPr>
              <w:spacing w:before="40" w:after="40" w:line="240" w:lineRule="atLeast"/>
              <w:jc w:val="center"/>
              <w:rPr>
                <w:sz w:val="20"/>
              </w:rPr>
            </w:pPr>
          </w:p>
        </w:tc>
        <w:tc>
          <w:tcPr>
            <w:tcW w:w="962" w:type="dxa"/>
          </w:tcPr>
          <w:p w14:paraId="15C1EEB0" w14:textId="77777777" w:rsidR="00C9282F" w:rsidRPr="009911C3" w:rsidRDefault="00C9282F" w:rsidP="003D5AF3">
            <w:pPr>
              <w:spacing w:before="40" w:after="40" w:line="240" w:lineRule="atLeast"/>
              <w:jc w:val="center"/>
              <w:rPr>
                <w:sz w:val="20"/>
              </w:rPr>
            </w:pPr>
          </w:p>
        </w:tc>
      </w:tr>
      <w:tr w:rsidR="00C9282F" w:rsidRPr="00CC1667" w14:paraId="342BF4B8" w14:textId="77777777" w:rsidTr="0052405E">
        <w:tc>
          <w:tcPr>
            <w:tcW w:w="2523" w:type="dxa"/>
          </w:tcPr>
          <w:p w14:paraId="1D44E934" w14:textId="77777777" w:rsidR="00C9282F" w:rsidRDefault="00C9282F" w:rsidP="003D5AF3">
            <w:pPr>
              <w:pStyle w:val="TableHeading"/>
              <w:spacing w:before="40" w:after="40"/>
            </w:pPr>
            <w:r>
              <w:t>Total</w:t>
            </w:r>
          </w:p>
        </w:tc>
        <w:tc>
          <w:tcPr>
            <w:tcW w:w="1215" w:type="dxa"/>
          </w:tcPr>
          <w:p w14:paraId="77B32889" w14:textId="77777777" w:rsidR="00C9282F" w:rsidRDefault="00C9282F" w:rsidP="003D5AF3">
            <w:pPr>
              <w:spacing w:before="40" w:after="40" w:line="240" w:lineRule="atLeast"/>
              <w:jc w:val="right"/>
              <w:rPr>
                <w:sz w:val="20"/>
              </w:rPr>
            </w:pPr>
          </w:p>
        </w:tc>
        <w:tc>
          <w:tcPr>
            <w:tcW w:w="931" w:type="dxa"/>
          </w:tcPr>
          <w:p w14:paraId="2F26F5E6" w14:textId="77777777" w:rsidR="00C9282F" w:rsidRPr="009911C3" w:rsidRDefault="00C9282F" w:rsidP="003D5AF3">
            <w:pPr>
              <w:spacing w:before="40" w:after="40" w:line="240" w:lineRule="atLeast"/>
              <w:jc w:val="center"/>
              <w:rPr>
                <w:sz w:val="20"/>
              </w:rPr>
            </w:pPr>
          </w:p>
        </w:tc>
        <w:tc>
          <w:tcPr>
            <w:tcW w:w="931" w:type="dxa"/>
          </w:tcPr>
          <w:p w14:paraId="04B44237" w14:textId="77777777" w:rsidR="00C9282F" w:rsidRPr="009911C3" w:rsidRDefault="00C9282F" w:rsidP="003D5AF3">
            <w:pPr>
              <w:spacing w:before="40" w:after="40" w:line="240" w:lineRule="atLeast"/>
              <w:jc w:val="center"/>
              <w:rPr>
                <w:sz w:val="20"/>
              </w:rPr>
            </w:pPr>
          </w:p>
        </w:tc>
        <w:tc>
          <w:tcPr>
            <w:tcW w:w="932" w:type="dxa"/>
          </w:tcPr>
          <w:p w14:paraId="125CDA4D" w14:textId="77777777" w:rsidR="00C9282F" w:rsidRPr="009911C3" w:rsidRDefault="00C9282F" w:rsidP="003D5AF3">
            <w:pPr>
              <w:spacing w:before="40" w:after="40" w:line="240" w:lineRule="atLeast"/>
              <w:jc w:val="center"/>
              <w:rPr>
                <w:sz w:val="20"/>
              </w:rPr>
            </w:pPr>
          </w:p>
        </w:tc>
        <w:tc>
          <w:tcPr>
            <w:tcW w:w="931" w:type="dxa"/>
          </w:tcPr>
          <w:p w14:paraId="0F2F76CB" w14:textId="77777777" w:rsidR="00C9282F" w:rsidRPr="009911C3" w:rsidRDefault="00C9282F" w:rsidP="003D5AF3">
            <w:pPr>
              <w:spacing w:before="40" w:after="40" w:line="240" w:lineRule="atLeast"/>
              <w:jc w:val="center"/>
              <w:rPr>
                <w:sz w:val="20"/>
              </w:rPr>
            </w:pPr>
          </w:p>
        </w:tc>
        <w:tc>
          <w:tcPr>
            <w:tcW w:w="931" w:type="dxa"/>
          </w:tcPr>
          <w:p w14:paraId="2AED13C7" w14:textId="77777777" w:rsidR="00C9282F" w:rsidRPr="009911C3" w:rsidRDefault="00C9282F" w:rsidP="003D5AF3">
            <w:pPr>
              <w:spacing w:before="40" w:after="40" w:line="240" w:lineRule="atLeast"/>
              <w:jc w:val="center"/>
              <w:rPr>
                <w:sz w:val="20"/>
              </w:rPr>
            </w:pPr>
          </w:p>
        </w:tc>
        <w:tc>
          <w:tcPr>
            <w:tcW w:w="962" w:type="dxa"/>
          </w:tcPr>
          <w:p w14:paraId="641C7E73" w14:textId="77777777" w:rsidR="00C9282F" w:rsidRPr="009911C3" w:rsidRDefault="00C9282F" w:rsidP="003D5AF3">
            <w:pPr>
              <w:spacing w:before="40" w:after="40" w:line="240" w:lineRule="atLeast"/>
              <w:jc w:val="center"/>
              <w:rPr>
                <w:sz w:val="20"/>
              </w:rPr>
            </w:pPr>
          </w:p>
        </w:tc>
      </w:tr>
      <w:tr w:rsidR="00C9282F" w:rsidRPr="004C1278" w14:paraId="3CF70335" w14:textId="77777777" w:rsidTr="0052405E">
        <w:tc>
          <w:tcPr>
            <w:tcW w:w="2523" w:type="dxa"/>
            <w:shd w:val="clear" w:color="auto" w:fill="CCD3E1"/>
            <w:vAlign w:val="bottom"/>
          </w:tcPr>
          <w:p w14:paraId="155802C0" w14:textId="77777777" w:rsidR="00C9282F" w:rsidRDefault="00C9282F" w:rsidP="003D5AF3">
            <w:pPr>
              <w:pStyle w:val="TableHeading"/>
              <w:spacing w:before="40" w:after="40"/>
            </w:pPr>
            <w:r>
              <w:t>Rank</w:t>
            </w:r>
          </w:p>
        </w:tc>
        <w:tc>
          <w:tcPr>
            <w:tcW w:w="1215" w:type="dxa"/>
            <w:shd w:val="clear" w:color="auto" w:fill="CCD3E1"/>
            <w:vAlign w:val="center"/>
          </w:tcPr>
          <w:p w14:paraId="6C6E334C" w14:textId="77777777" w:rsidR="00C9282F" w:rsidRDefault="00C9282F" w:rsidP="003D5AF3">
            <w:pPr>
              <w:pStyle w:val="TableHeading"/>
              <w:spacing w:before="40" w:after="40"/>
              <w:jc w:val="right"/>
            </w:pPr>
          </w:p>
        </w:tc>
        <w:tc>
          <w:tcPr>
            <w:tcW w:w="931" w:type="dxa"/>
            <w:shd w:val="clear" w:color="auto" w:fill="CCD3E1"/>
            <w:vAlign w:val="center"/>
          </w:tcPr>
          <w:p w14:paraId="5AB2E99D" w14:textId="77777777" w:rsidR="00C9282F" w:rsidRDefault="00C9282F" w:rsidP="003D5AF3">
            <w:pPr>
              <w:pStyle w:val="TableHeading"/>
              <w:spacing w:before="40" w:after="40"/>
              <w:jc w:val="center"/>
            </w:pPr>
          </w:p>
        </w:tc>
        <w:tc>
          <w:tcPr>
            <w:tcW w:w="931" w:type="dxa"/>
            <w:shd w:val="clear" w:color="auto" w:fill="CCD3E1"/>
            <w:vAlign w:val="center"/>
          </w:tcPr>
          <w:p w14:paraId="1CB90162" w14:textId="77777777" w:rsidR="00C9282F" w:rsidRDefault="00C9282F" w:rsidP="003D5AF3">
            <w:pPr>
              <w:pStyle w:val="TableHeading"/>
              <w:spacing w:before="40" w:after="40"/>
              <w:jc w:val="center"/>
            </w:pPr>
          </w:p>
        </w:tc>
        <w:tc>
          <w:tcPr>
            <w:tcW w:w="932" w:type="dxa"/>
            <w:shd w:val="clear" w:color="auto" w:fill="CCD3E1"/>
            <w:vAlign w:val="center"/>
          </w:tcPr>
          <w:p w14:paraId="0076BBD0" w14:textId="77777777" w:rsidR="00C9282F" w:rsidRDefault="00C9282F" w:rsidP="003D5AF3">
            <w:pPr>
              <w:pStyle w:val="TableHeading"/>
              <w:spacing w:before="40" w:after="40"/>
              <w:jc w:val="center"/>
            </w:pPr>
          </w:p>
        </w:tc>
        <w:tc>
          <w:tcPr>
            <w:tcW w:w="931" w:type="dxa"/>
            <w:shd w:val="clear" w:color="auto" w:fill="CCD3E1"/>
            <w:vAlign w:val="center"/>
          </w:tcPr>
          <w:p w14:paraId="660FB84F" w14:textId="77777777" w:rsidR="00C9282F" w:rsidRDefault="00C9282F" w:rsidP="003D5AF3">
            <w:pPr>
              <w:pStyle w:val="TableHeading"/>
              <w:spacing w:before="40" w:after="40"/>
              <w:jc w:val="center"/>
            </w:pPr>
          </w:p>
        </w:tc>
        <w:tc>
          <w:tcPr>
            <w:tcW w:w="931" w:type="dxa"/>
            <w:shd w:val="clear" w:color="auto" w:fill="CCD3E1"/>
          </w:tcPr>
          <w:p w14:paraId="041E8CD0" w14:textId="77777777" w:rsidR="00C9282F" w:rsidRDefault="00C9282F" w:rsidP="003D5AF3">
            <w:pPr>
              <w:pStyle w:val="TableHeading"/>
              <w:spacing w:before="40" w:after="40"/>
              <w:jc w:val="center"/>
            </w:pPr>
          </w:p>
        </w:tc>
        <w:tc>
          <w:tcPr>
            <w:tcW w:w="962" w:type="dxa"/>
            <w:shd w:val="clear" w:color="auto" w:fill="CCD3E1"/>
            <w:vAlign w:val="center"/>
          </w:tcPr>
          <w:p w14:paraId="230CCBE6" w14:textId="77777777" w:rsidR="00C9282F" w:rsidRDefault="00C9282F" w:rsidP="003D5AF3">
            <w:pPr>
              <w:pStyle w:val="TableHeading"/>
              <w:spacing w:before="40" w:after="40"/>
              <w:jc w:val="center"/>
            </w:pPr>
          </w:p>
        </w:tc>
      </w:tr>
    </w:tbl>
    <w:p w14:paraId="1B53B194" w14:textId="77777777" w:rsidR="00AB03B3" w:rsidRDefault="00AB03B3" w:rsidP="003D5AF3">
      <w:pPr>
        <w:spacing w:line="260" w:lineRule="atLeast"/>
        <w:rPr>
          <w:rStyle w:val="Emphasis"/>
          <w:i w:val="0"/>
        </w:rPr>
      </w:pPr>
    </w:p>
    <w:p w14:paraId="4CC6D9FF" w14:textId="291339EB" w:rsidR="00AB03B3" w:rsidRPr="0052405E" w:rsidRDefault="00AB03B3" w:rsidP="0052405E">
      <w:pPr>
        <w:spacing w:line="260" w:lineRule="atLeast"/>
        <w:rPr>
          <w:rStyle w:val="Emphasis"/>
          <w:i w:val="0"/>
          <w:sz w:val="22"/>
          <w:szCs w:val="22"/>
        </w:rPr>
      </w:pPr>
      <w:r w:rsidRPr="0052405E">
        <w:rPr>
          <w:rStyle w:val="Emphasis"/>
          <w:i w:val="0"/>
          <w:sz w:val="22"/>
          <w:szCs w:val="22"/>
        </w:rPr>
        <w:t xml:space="preserve">Due diligence was carried out on the </w:t>
      </w:r>
      <w:r w:rsidRPr="0052405E">
        <w:rPr>
          <w:rStyle w:val="Emphasis"/>
          <w:iCs w:val="0"/>
          <w:color w:val="0000FF"/>
          <w:sz w:val="22"/>
          <w:szCs w:val="22"/>
          <w:highlight w:val="yellow"/>
        </w:rPr>
        <w:t>two</w:t>
      </w:r>
      <w:r w:rsidR="0003530F" w:rsidRPr="0052405E">
        <w:rPr>
          <w:rStyle w:val="Emphasis"/>
          <w:i w:val="0"/>
          <w:sz w:val="22"/>
          <w:szCs w:val="22"/>
        </w:rPr>
        <w:t xml:space="preserve"> h</w:t>
      </w:r>
      <w:r w:rsidRPr="0052405E">
        <w:rPr>
          <w:rStyle w:val="Emphasis"/>
          <w:i w:val="0"/>
          <w:sz w:val="22"/>
          <w:szCs w:val="22"/>
        </w:rPr>
        <w:t>ighest ranked suppliers.  This included:</w:t>
      </w:r>
    </w:p>
    <w:p w14:paraId="59E30EFA" w14:textId="77777777" w:rsidR="00AB03B3" w:rsidRPr="0052405E" w:rsidRDefault="00AB03B3" w:rsidP="0052405E">
      <w:pPr>
        <w:pStyle w:val="ListParagraph"/>
        <w:numPr>
          <w:ilvl w:val="0"/>
          <w:numId w:val="35"/>
        </w:numPr>
        <w:spacing w:line="260" w:lineRule="atLeast"/>
        <w:ind w:left="425" w:hanging="425"/>
        <w:rPr>
          <w:rStyle w:val="Emphasis"/>
          <w:iCs w:val="0"/>
          <w:color w:val="0000FF"/>
          <w:sz w:val="22"/>
          <w:szCs w:val="22"/>
        </w:rPr>
      </w:pPr>
      <w:r w:rsidRPr="0052405E">
        <w:rPr>
          <w:rStyle w:val="Emphasis"/>
          <w:iCs w:val="0"/>
          <w:color w:val="0000FF"/>
          <w:sz w:val="22"/>
          <w:szCs w:val="22"/>
          <w:u w:val="single"/>
        </w:rPr>
        <w:t>Summarise</w:t>
      </w:r>
      <w:r w:rsidRPr="0052405E">
        <w:rPr>
          <w:rStyle w:val="Emphasis"/>
          <w:iCs w:val="0"/>
          <w:color w:val="0000FF"/>
          <w:sz w:val="22"/>
          <w:szCs w:val="22"/>
        </w:rPr>
        <w:t xml:space="preserve"> the process, </w:t>
      </w:r>
      <w:proofErr w:type="spellStart"/>
      <w:r w:rsidRPr="0052405E">
        <w:rPr>
          <w:rStyle w:val="Emphasis"/>
          <w:iCs w:val="0"/>
          <w:color w:val="0000FF"/>
          <w:sz w:val="22"/>
          <w:szCs w:val="22"/>
        </w:rPr>
        <w:t>eg</w:t>
      </w:r>
      <w:proofErr w:type="spellEnd"/>
      <w:r w:rsidRPr="0052405E">
        <w:rPr>
          <w:rStyle w:val="Emphasis"/>
          <w:iCs w:val="0"/>
          <w:color w:val="0000FF"/>
          <w:sz w:val="22"/>
          <w:szCs w:val="22"/>
        </w:rPr>
        <w:t xml:space="preserve"> </w:t>
      </w:r>
    </w:p>
    <w:p w14:paraId="5F5A081E" w14:textId="713D5B43" w:rsidR="00AB03B3" w:rsidRPr="0052405E" w:rsidRDefault="00AB03B3" w:rsidP="0052405E">
      <w:pPr>
        <w:pStyle w:val="ListParagraph"/>
        <w:numPr>
          <w:ilvl w:val="0"/>
          <w:numId w:val="35"/>
        </w:numPr>
        <w:spacing w:line="260" w:lineRule="atLeast"/>
        <w:ind w:left="425" w:hanging="425"/>
        <w:rPr>
          <w:rStyle w:val="Emphasis"/>
          <w:iCs w:val="0"/>
          <w:color w:val="0000FF"/>
          <w:sz w:val="22"/>
          <w:szCs w:val="22"/>
        </w:rPr>
      </w:pPr>
      <w:r w:rsidRPr="0052405E">
        <w:rPr>
          <w:rStyle w:val="Emphasis"/>
          <w:iCs w:val="0"/>
          <w:color w:val="0000FF"/>
          <w:sz w:val="22"/>
          <w:szCs w:val="22"/>
        </w:rPr>
        <w:t>Site visits to its head office/ New Zealand office / New Zealand customer / (name of current project site)</w:t>
      </w:r>
    </w:p>
    <w:p w14:paraId="325C3719" w14:textId="57232868" w:rsidR="00AB03B3" w:rsidRPr="0052405E" w:rsidRDefault="00AB03B3" w:rsidP="0052405E">
      <w:pPr>
        <w:pStyle w:val="ListParagraph"/>
        <w:numPr>
          <w:ilvl w:val="0"/>
          <w:numId w:val="35"/>
        </w:numPr>
        <w:spacing w:line="260" w:lineRule="atLeast"/>
        <w:ind w:left="425" w:hanging="425"/>
        <w:rPr>
          <w:rStyle w:val="Emphasis"/>
          <w:iCs w:val="0"/>
          <w:color w:val="0000FF"/>
          <w:sz w:val="22"/>
          <w:szCs w:val="22"/>
        </w:rPr>
      </w:pPr>
      <w:r w:rsidRPr="0052405E">
        <w:rPr>
          <w:rStyle w:val="Emphasis"/>
          <w:iCs w:val="0"/>
          <w:color w:val="0000FF"/>
          <w:sz w:val="22"/>
          <w:szCs w:val="22"/>
        </w:rPr>
        <w:t>Formal approaches to other customers in New Zealand and (overseas location)</w:t>
      </w:r>
    </w:p>
    <w:p w14:paraId="0190F077" w14:textId="761E5791" w:rsidR="00AB03B3" w:rsidRPr="0052405E" w:rsidRDefault="00AB03B3" w:rsidP="0052405E">
      <w:pPr>
        <w:pStyle w:val="ListParagraph"/>
        <w:numPr>
          <w:ilvl w:val="0"/>
          <w:numId w:val="35"/>
        </w:numPr>
        <w:spacing w:line="260" w:lineRule="atLeast"/>
        <w:ind w:left="425" w:hanging="425"/>
        <w:rPr>
          <w:rStyle w:val="Emphasis"/>
          <w:iCs w:val="0"/>
          <w:color w:val="0000FF"/>
          <w:sz w:val="22"/>
          <w:szCs w:val="22"/>
        </w:rPr>
      </w:pPr>
      <w:r w:rsidRPr="0052405E">
        <w:rPr>
          <w:rStyle w:val="Emphasis"/>
          <w:iCs w:val="0"/>
          <w:color w:val="0000FF"/>
          <w:sz w:val="22"/>
          <w:szCs w:val="22"/>
        </w:rPr>
        <w:t xml:space="preserve">Independent capability assessment by a Technical Quality Assurance specialist of a </w:t>
      </w:r>
      <w:r w:rsidR="00BF6322" w:rsidRPr="0052405E">
        <w:rPr>
          <w:rStyle w:val="Emphasis"/>
          <w:iCs w:val="0"/>
          <w:color w:val="0000FF"/>
          <w:sz w:val="22"/>
          <w:szCs w:val="22"/>
        </w:rPr>
        <w:t>…</w:t>
      </w:r>
    </w:p>
    <w:p w14:paraId="779C1297" w14:textId="35749A39" w:rsidR="00AB03B3" w:rsidRPr="0052405E" w:rsidRDefault="00AB03B3" w:rsidP="0052405E">
      <w:pPr>
        <w:spacing w:line="260" w:lineRule="atLeast"/>
        <w:rPr>
          <w:rStyle w:val="Emphasis"/>
          <w:i w:val="0"/>
          <w:sz w:val="22"/>
          <w:szCs w:val="22"/>
        </w:rPr>
      </w:pPr>
      <w:r w:rsidRPr="0052405E">
        <w:rPr>
          <w:rStyle w:val="Emphasis"/>
          <w:i w:val="0"/>
          <w:sz w:val="22"/>
          <w:szCs w:val="22"/>
        </w:rPr>
        <w:t xml:space="preserve">The </w:t>
      </w:r>
      <w:r w:rsidRPr="0052405E">
        <w:rPr>
          <w:rStyle w:val="Emphasis"/>
          <w:b/>
          <w:i w:val="0"/>
          <w:sz w:val="22"/>
          <w:szCs w:val="22"/>
        </w:rPr>
        <w:t xml:space="preserve">Evaluation Process &amp; Criteria, Due Diligence assessment </w:t>
      </w:r>
      <w:r w:rsidRPr="0052405E">
        <w:rPr>
          <w:rStyle w:val="Emphasis"/>
          <w:bCs/>
          <w:i w:val="0"/>
          <w:sz w:val="22"/>
          <w:szCs w:val="22"/>
        </w:rPr>
        <w:t xml:space="preserve">and </w:t>
      </w:r>
      <w:r w:rsidRPr="0052405E">
        <w:rPr>
          <w:rStyle w:val="Emphasis"/>
          <w:b/>
          <w:i w:val="0"/>
          <w:sz w:val="22"/>
          <w:szCs w:val="22"/>
        </w:rPr>
        <w:t>Panel Report/Minutes</w:t>
      </w:r>
      <w:r w:rsidRPr="0052405E">
        <w:rPr>
          <w:rStyle w:val="Emphasis"/>
          <w:i w:val="0"/>
          <w:sz w:val="22"/>
          <w:szCs w:val="22"/>
        </w:rPr>
        <w:t xml:space="preserve"> </w:t>
      </w:r>
      <w:r w:rsidRPr="0052405E">
        <w:rPr>
          <w:rStyle w:val="Emphasis"/>
          <w:iCs w:val="0"/>
          <w:color w:val="0000FF"/>
          <w:sz w:val="22"/>
          <w:szCs w:val="22"/>
        </w:rPr>
        <w:t>(name the equivalent documents in which this information appears)</w:t>
      </w:r>
      <w:r w:rsidRPr="0052405E">
        <w:rPr>
          <w:rStyle w:val="Emphasis"/>
          <w:i w:val="0"/>
          <w:color w:val="0000FF"/>
          <w:sz w:val="22"/>
          <w:szCs w:val="22"/>
        </w:rPr>
        <w:t xml:space="preserve"> </w:t>
      </w:r>
      <w:r w:rsidRPr="0052405E">
        <w:rPr>
          <w:rStyle w:val="Emphasis"/>
          <w:i w:val="0"/>
          <w:sz w:val="22"/>
          <w:szCs w:val="22"/>
        </w:rPr>
        <w:t>provide more information on the supplier offer evalua</w:t>
      </w:r>
      <w:r w:rsidR="0052405E">
        <w:rPr>
          <w:rStyle w:val="Emphasis"/>
          <w:i w:val="0"/>
          <w:sz w:val="22"/>
          <w:szCs w:val="22"/>
        </w:rPr>
        <w:t>tion and due diligence process.</w:t>
      </w:r>
      <w:r w:rsidRPr="0052405E">
        <w:rPr>
          <w:rStyle w:val="Emphasis"/>
          <w:i w:val="0"/>
          <w:sz w:val="22"/>
          <w:szCs w:val="22"/>
        </w:rPr>
        <w:t xml:space="preserve"> The final versions are listed in </w:t>
      </w:r>
      <w:hyperlink w:anchor="_Annex_2:_" w:history="1">
        <w:r w:rsidRPr="0052405E">
          <w:rPr>
            <w:rStyle w:val="Hyperlink"/>
            <w:szCs w:val="22"/>
          </w:rPr>
          <w:t>Annex 2</w:t>
        </w:r>
      </w:hyperlink>
      <w:r w:rsidRPr="0052405E">
        <w:rPr>
          <w:rStyle w:val="Emphasis"/>
          <w:i w:val="0"/>
          <w:sz w:val="22"/>
          <w:szCs w:val="22"/>
        </w:rPr>
        <w:t xml:space="preserve"> and are available on request.</w:t>
      </w:r>
    </w:p>
    <w:p w14:paraId="069751F7" w14:textId="77777777" w:rsidR="00F73196" w:rsidRDefault="00CE7FFA" w:rsidP="006E4FDB">
      <w:pPr>
        <w:pStyle w:val="Heading2"/>
      </w:pPr>
      <w:bookmarkStart w:id="79" w:name="_Commercial_Case_&lt;link"/>
      <w:bookmarkEnd w:id="79"/>
      <w:r>
        <w:t>Supplier C</w:t>
      </w:r>
      <w:r w:rsidR="00DB654D">
        <w:t>ontract A</w:t>
      </w:r>
      <w:r w:rsidR="0099400C">
        <w:t>rrangements</w:t>
      </w:r>
    </w:p>
    <w:p w14:paraId="76302327" w14:textId="77777777" w:rsidR="00BC5ACC" w:rsidRDefault="00C93177"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AB03B3">
        <w:rPr>
          <w:rStyle w:val="Emphasis"/>
          <w:u w:val="single"/>
        </w:rPr>
        <w:t>Summarise</w:t>
      </w:r>
      <w:r w:rsidR="001B1CF5" w:rsidRPr="008F6784">
        <w:rPr>
          <w:rStyle w:val="Emphasis"/>
        </w:rPr>
        <w:t xml:space="preserve"> the </w:t>
      </w:r>
      <w:r w:rsidR="001B1CF5">
        <w:rPr>
          <w:rStyle w:val="Emphasis"/>
        </w:rPr>
        <w:t xml:space="preserve">potential </w:t>
      </w:r>
      <w:r w:rsidR="001B1CF5" w:rsidRPr="008F6784">
        <w:rPr>
          <w:rStyle w:val="Emphasis"/>
        </w:rPr>
        <w:t xml:space="preserve">deal that </w:t>
      </w:r>
      <w:r w:rsidR="001B1CF5">
        <w:rPr>
          <w:rStyle w:val="Emphasis"/>
        </w:rPr>
        <w:t>ha</w:t>
      </w:r>
      <w:r>
        <w:rPr>
          <w:rStyle w:val="Emphasis"/>
        </w:rPr>
        <w:t>s</w:t>
      </w:r>
      <w:r w:rsidR="001B1CF5">
        <w:rPr>
          <w:rStyle w:val="Emphasis"/>
        </w:rPr>
        <w:t xml:space="preserve"> been</w:t>
      </w:r>
      <w:r w:rsidR="001B1CF5" w:rsidRPr="008F6784">
        <w:rPr>
          <w:rStyle w:val="Emphasis"/>
        </w:rPr>
        <w:t xml:space="preserve"> negotiated with the preferred supplier</w:t>
      </w:r>
      <w:r w:rsidR="00455DEC">
        <w:rPr>
          <w:rStyle w:val="Emphasis"/>
        </w:rPr>
        <w:t>/</w:t>
      </w:r>
      <w:r w:rsidR="001B1CF5">
        <w:rPr>
          <w:rStyle w:val="Emphasis"/>
        </w:rPr>
        <w:t>s</w:t>
      </w:r>
      <w:r>
        <w:rPr>
          <w:rStyle w:val="Emphasis"/>
        </w:rPr>
        <w:t xml:space="preserve">. </w:t>
      </w:r>
    </w:p>
    <w:p w14:paraId="2FC198BD" w14:textId="2128CDC6" w:rsidR="001B1CF5" w:rsidRDefault="00BC5ACC" w:rsidP="003D5AF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BC5ACC">
        <w:rPr>
          <w:rStyle w:val="Emphasis"/>
        </w:rPr>
        <w:t>This is the commercial transaction that the Implementation Business Case is asking management and the approving authority to approve</w:t>
      </w:r>
      <w:r w:rsidR="001B42CB">
        <w:rPr>
          <w:rStyle w:val="Emphasis"/>
        </w:rPr>
        <w:t xml:space="preserve"> so that the contract(s) may be signed</w:t>
      </w:r>
      <w:r w:rsidRPr="00BC5ACC">
        <w:rPr>
          <w:rStyle w:val="Emphasis"/>
        </w:rPr>
        <w:t xml:space="preserve">; consider the level of detail and materiality they require. </w:t>
      </w:r>
      <w:r w:rsidR="001B42CB">
        <w:rPr>
          <w:rStyle w:val="Emphasis"/>
        </w:rPr>
        <w:t xml:space="preserve"> </w:t>
      </w:r>
      <w:r w:rsidR="00455DEC">
        <w:rPr>
          <w:rStyle w:val="Emphasis"/>
        </w:rPr>
        <w:t>Key issues include</w:t>
      </w:r>
      <w:r w:rsidR="001B1CF5" w:rsidRPr="008F6784">
        <w:rPr>
          <w:rStyle w:val="Emphasis"/>
        </w:rPr>
        <w:t>:</w:t>
      </w:r>
    </w:p>
    <w:p w14:paraId="310D5105" w14:textId="77777777" w:rsidR="001B1CF5" w:rsidRPr="008F6784" w:rsidRDefault="001B1CF5" w:rsidP="00E204ED">
      <w:pPr>
        <w:pStyle w:val="Boxbullet"/>
        <w:ind w:left="425" w:hanging="425"/>
        <w:rPr>
          <w:rStyle w:val="Emphasis"/>
        </w:rPr>
      </w:pPr>
      <w:r w:rsidRPr="008F6784">
        <w:rPr>
          <w:rStyle w:val="Emphasis"/>
        </w:rPr>
        <w:t xml:space="preserve">the </w:t>
      </w:r>
      <w:r w:rsidR="00455DEC">
        <w:rPr>
          <w:rStyle w:val="Emphasis"/>
        </w:rPr>
        <w:t xml:space="preserve">products, services </w:t>
      </w:r>
      <w:r w:rsidRPr="008F6784">
        <w:rPr>
          <w:rStyle w:val="Emphasis"/>
        </w:rPr>
        <w:t>and outputs which are being contract</w:t>
      </w:r>
      <w:r w:rsidR="00455DEC">
        <w:rPr>
          <w:rStyle w:val="Emphasis"/>
        </w:rPr>
        <w:t>ed</w:t>
      </w:r>
    </w:p>
    <w:p w14:paraId="66E9F5CB" w14:textId="77777777" w:rsidR="001B1CF5" w:rsidRPr="008F6784" w:rsidRDefault="001B1CF5" w:rsidP="00E204ED">
      <w:pPr>
        <w:pStyle w:val="Boxbullet"/>
        <w:ind w:left="425" w:hanging="425"/>
        <w:rPr>
          <w:rStyle w:val="Emphasis"/>
        </w:rPr>
      </w:pPr>
      <w:r w:rsidRPr="008F6784">
        <w:rPr>
          <w:rStyle w:val="Emphasis"/>
        </w:rPr>
        <w:t xml:space="preserve">the implementation </w:t>
      </w:r>
      <w:r w:rsidR="00455DEC">
        <w:rPr>
          <w:rStyle w:val="Emphasis"/>
        </w:rPr>
        <w:t xml:space="preserve">milestones and </w:t>
      </w:r>
      <w:r w:rsidRPr="008F6784">
        <w:rPr>
          <w:rStyle w:val="Emphasis"/>
        </w:rPr>
        <w:t>timescales that have been agreed for delivery</w:t>
      </w:r>
    </w:p>
    <w:p w14:paraId="388769CD" w14:textId="77777777" w:rsidR="001B1CF5" w:rsidRPr="008F6784" w:rsidRDefault="001B1CF5" w:rsidP="00E204ED">
      <w:pPr>
        <w:pStyle w:val="Boxbullet"/>
        <w:ind w:left="425" w:hanging="425"/>
        <w:rPr>
          <w:rStyle w:val="Emphasis"/>
        </w:rPr>
      </w:pPr>
      <w:r w:rsidRPr="008F6784">
        <w:rPr>
          <w:rStyle w:val="Emphasis"/>
        </w:rPr>
        <w:t>the allocation of risk negotiated between the organisation and preferred supplier</w:t>
      </w:r>
    </w:p>
    <w:p w14:paraId="3DF2BD62" w14:textId="77777777" w:rsidR="00482953" w:rsidRDefault="001B1CF5" w:rsidP="00E204ED">
      <w:pPr>
        <w:pStyle w:val="Boxbullet"/>
        <w:ind w:left="425" w:hanging="425"/>
        <w:rPr>
          <w:rStyle w:val="Emphasis"/>
        </w:rPr>
      </w:pPr>
      <w:r w:rsidRPr="00482953">
        <w:rPr>
          <w:rStyle w:val="Emphasis"/>
        </w:rPr>
        <w:t xml:space="preserve">the type of contract used and key contractual issues </w:t>
      </w:r>
      <w:r w:rsidR="00C612BB" w:rsidRPr="00482953">
        <w:rPr>
          <w:rStyle w:val="Emphasis"/>
        </w:rPr>
        <w:t>with confirmation from legal and commercial advisors as appropriate</w:t>
      </w:r>
    </w:p>
    <w:p w14:paraId="24581F43" w14:textId="08162B1D" w:rsidR="00C612BB" w:rsidRPr="00482953" w:rsidRDefault="00C612BB" w:rsidP="00E204ED">
      <w:pPr>
        <w:pStyle w:val="Boxbullet"/>
        <w:ind w:left="425" w:hanging="425"/>
        <w:rPr>
          <w:rStyle w:val="Emphasis"/>
        </w:rPr>
      </w:pPr>
      <w:proofErr w:type="gramStart"/>
      <w:r w:rsidRPr="00482953">
        <w:rPr>
          <w:rStyle w:val="Emphasis"/>
        </w:rPr>
        <w:t>the</w:t>
      </w:r>
      <w:proofErr w:type="gramEnd"/>
      <w:r w:rsidRPr="00482953">
        <w:rPr>
          <w:rStyle w:val="Emphasis"/>
        </w:rPr>
        <w:t xml:space="preserve"> payment criteria for the suppliers, including the premiums for risk transfer</w:t>
      </w:r>
      <w:r w:rsidR="006B5623">
        <w:rPr>
          <w:rStyle w:val="Emphasis"/>
        </w:rPr>
        <w:t>.</w:t>
      </w:r>
    </w:p>
    <w:p w14:paraId="63B40BD4" w14:textId="0A696A46" w:rsidR="006F505F" w:rsidRPr="0052405E" w:rsidRDefault="006F505F" w:rsidP="00E204ED">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rStyle w:val="Emphasis"/>
          <w:i w:val="0"/>
          <w:color w:val="000000"/>
        </w:rPr>
      </w:pPr>
      <w:r w:rsidRPr="006F505F">
        <w:rPr>
          <w:rStyle w:val="Emphasis"/>
          <w:i w:val="0"/>
          <w:color w:val="000000"/>
        </w:rPr>
        <w:t xml:space="preserve">The Standard Form PPP Project Agreement </w:t>
      </w:r>
      <w:r w:rsidRPr="001B42CB">
        <w:rPr>
          <w:rStyle w:val="Emphasis"/>
          <w:i w:val="0"/>
          <w:color w:val="000000"/>
          <w:u w:val="single"/>
        </w:rPr>
        <w:t>must</w:t>
      </w:r>
      <w:r w:rsidRPr="006F505F">
        <w:rPr>
          <w:rStyle w:val="Emphasis"/>
          <w:i w:val="0"/>
          <w:color w:val="000000"/>
        </w:rPr>
        <w:t xml:space="preserve"> be used by all procuring entities undertaking PPP procurement; it is only to be adapted in consultation with the New Zealand Infrastructure Commission</w:t>
      </w:r>
      <w:r w:rsidR="00884C48">
        <w:rPr>
          <w:rStyle w:val="Emphasis"/>
          <w:i w:val="0"/>
          <w:color w:val="000000"/>
        </w:rPr>
        <w:t xml:space="preserve">, </w:t>
      </w:r>
      <w:r w:rsidR="00884C48" w:rsidRPr="0052405E">
        <w:rPr>
          <w:rStyle w:val="Emphasis"/>
          <w:i w:val="0"/>
          <w:color w:val="000000"/>
        </w:rPr>
        <w:t>and</w:t>
      </w:r>
      <w:r w:rsidRPr="0052405E">
        <w:rPr>
          <w:rStyle w:val="Emphasis"/>
          <w:i w:val="0"/>
          <w:color w:val="000000"/>
        </w:rPr>
        <w:t xml:space="preserve"> to the extent required to accommodate any unique characteristics of a specific project: </w:t>
      </w:r>
      <w:r w:rsidR="00884C48" w:rsidRPr="0052405E">
        <w:rPr>
          <w:rStyle w:val="Emphasis"/>
          <w:i w:val="0"/>
          <w:color w:val="000000"/>
        </w:rPr>
        <w:t xml:space="preserve"> </w:t>
      </w:r>
      <w:hyperlink r:id="rId24" w:history="1">
        <w:r w:rsidR="00884C48" w:rsidRPr="0052405E">
          <w:rPr>
            <w:rStyle w:val="Hyperlink"/>
            <w:sz w:val="20"/>
          </w:rPr>
          <w:t>https://infracom.govt.nz/major-projects/public-private-partnerships/</w:t>
        </w:r>
      </w:hyperlink>
      <w:r w:rsidR="001B42CB" w:rsidRPr="0052405E">
        <w:rPr>
          <w:rStyle w:val="Hyperlink"/>
          <w:color w:val="000000" w:themeColor="text1"/>
          <w:sz w:val="20"/>
          <w:u w:val="none"/>
        </w:rPr>
        <w:t>.  Contact</w:t>
      </w:r>
      <w:r w:rsidR="001B42CB" w:rsidRPr="0052405E">
        <w:rPr>
          <w:rStyle w:val="Hyperlink"/>
          <w:sz w:val="20"/>
        </w:rPr>
        <w:t xml:space="preserve"> </w:t>
      </w:r>
      <w:hyperlink r:id="rId25" w:history="1">
        <w:r w:rsidR="001B42CB" w:rsidRPr="0052405E">
          <w:rPr>
            <w:rStyle w:val="Hyperlink"/>
            <w:sz w:val="20"/>
          </w:rPr>
          <w:t>info@infracom.govt.nz</w:t>
        </w:r>
      </w:hyperlink>
    </w:p>
    <w:p w14:paraId="75F40EF7" w14:textId="7B80DC9C" w:rsidR="009C584B" w:rsidRDefault="009C584B" w:rsidP="003D5AF3">
      <w:pPr>
        <w:spacing w:line="260" w:lineRule="atLeast"/>
        <w:rPr>
          <w:rStyle w:val="Emphasis"/>
          <w:i w:val="0"/>
          <w:color w:val="000000"/>
        </w:rPr>
      </w:pPr>
      <w:r w:rsidRPr="009C584B">
        <w:rPr>
          <w:rStyle w:val="Emphasis"/>
          <w:i w:val="0"/>
          <w:color w:val="000000"/>
          <w:highlight w:val="yellow"/>
        </w:rPr>
        <w:t>The Standard Form PPP Project Agreement has been used for this procurement; it has not been</w:t>
      </w:r>
      <w:r w:rsidR="001C101B">
        <w:rPr>
          <w:rStyle w:val="Emphasis"/>
          <w:i w:val="0"/>
          <w:color w:val="000000"/>
          <w:highlight w:val="yellow"/>
        </w:rPr>
        <w:t xml:space="preserve"> adapted (or) has</w:t>
      </w:r>
      <w:r w:rsidRPr="009C584B">
        <w:rPr>
          <w:rStyle w:val="Emphasis"/>
          <w:i w:val="0"/>
          <w:color w:val="000000"/>
          <w:highlight w:val="yellow"/>
        </w:rPr>
        <w:t xml:space="preserve"> been adapted in consultation with the New Zealand Infrastructure Commission to the extent required to accommodate </w:t>
      </w:r>
      <w:r w:rsidR="001C101B">
        <w:rPr>
          <w:rStyle w:val="Emphasis"/>
          <w:i w:val="0"/>
          <w:color w:val="000000"/>
          <w:highlight w:val="yellow"/>
        </w:rPr>
        <w:t>the</w:t>
      </w:r>
      <w:r w:rsidRPr="009C584B">
        <w:rPr>
          <w:rStyle w:val="Emphasis"/>
          <w:i w:val="0"/>
          <w:color w:val="000000"/>
          <w:highlight w:val="yellow"/>
        </w:rPr>
        <w:t xml:space="preserve"> unique characteristics of </w:t>
      </w:r>
      <w:r w:rsidR="001C101B">
        <w:rPr>
          <w:rStyle w:val="Emphasis"/>
          <w:i w:val="0"/>
          <w:color w:val="000000"/>
          <w:highlight w:val="yellow"/>
        </w:rPr>
        <w:t>this project</w:t>
      </w:r>
      <w:r w:rsidR="001C101B">
        <w:rPr>
          <w:rStyle w:val="Emphasis"/>
          <w:i w:val="0"/>
          <w:color w:val="000000"/>
        </w:rPr>
        <w:t>.</w:t>
      </w:r>
    </w:p>
    <w:p w14:paraId="7710D210" w14:textId="4C265768" w:rsidR="001B42CB" w:rsidRPr="0052405E" w:rsidRDefault="001B42CB" w:rsidP="003D5AF3">
      <w:pPr>
        <w:spacing w:line="260" w:lineRule="atLeast"/>
        <w:rPr>
          <w:rStyle w:val="Emphasis"/>
          <w:i w:val="0"/>
          <w:sz w:val="22"/>
          <w:szCs w:val="22"/>
        </w:rPr>
      </w:pPr>
      <w:r w:rsidRPr="0052405E">
        <w:rPr>
          <w:rStyle w:val="Emphasis"/>
          <w:i w:val="0"/>
          <w:sz w:val="22"/>
          <w:szCs w:val="22"/>
        </w:rPr>
        <w:t xml:space="preserve">Key contractual documents are listed in </w:t>
      </w:r>
      <w:hyperlink w:anchor="_Annex_2:_" w:history="1">
        <w:r w:rsidRPr="0052405E">
          <w:rPr>
            <w:rStyle w:val="Hyperlink"/>
            <w:szCs w:val="22"/>
          </w:rPr>
          <w:t>Annex 2</w:t>
        </w:r>
      </w:hyperlink>
      <w:r w:rsidRPr="0052405E">
        <w:rPr>
          <w:rStyle w:val="Emphasis"/>
          <w:i w:val="0"/>
          <w:sz w:val="22"/>
          <w:szCs w:val="22"/>
        </w:rPr>
        <w:t xml:space="preserve"> and are available on request.</w:t>
      </w:r>
    </w:p>
    <w:p w14:paraId="0D36B097" w14:textId="153135FB" w:rsidR="00455DEC" w:rsidRPr="0052405E" w:rsidRDefault="00455DEC" w:rsidP="00996D0A">
      <w:pPr>
        <w:pStyle w:val="Heading3"/>
        <w:rPr>
          <w:rStyle w:val="Emphasis"/>
          <w:i w:val="0"/>
          <w:sz w:val="22"/>
        </w:rPr>
      </w:pPr>
      <w:r w:rsidRPr="0052405E">
        <w:rPr>
          <w:rStyle w:val="Emphasis"/>
          <w:i w:val="0"/>
          <w:sz w:val="22"/>
        </w:rPr>
        <w:t>Negotiated contract milestones</w:t>
      </w:r>
    </w:p>
    <w:p w14:paraId="06214BE7" w14:textId="77777777" w:rsidR="00BC5ACC" w:rsidRPr="0052405E" w:rsidRDefault="0099400C" w:rsidP="006A024A">
      <w:pPr>
        <w:keepNext/>
        <w:spacing w:line="260" w:lineRule="atLeast"/>
        <w:rPr>
          <w:rStyle w:val="Emphasis"/>
          <w:i w:val="0"/>
          <w:color w:val="000000"/>
          <w:sz w:val="22"/>
          <w:szCs w:val="22"/>
        </w:rPr>
      </w:pPr>
      <w:r w:rsidRPr="0052405E">
        <w:rPr>
          <w:rStyle w:val="Emphasis"/>
          <w:i w:val="0"/>
          <w:sz w:val="22"/>
          <w:szCs w:val="22"/>
        </w:rPr>
        <w:t xml:space="preserve">The </w:t>
      </w:r>
      <w:r w:rsidR="00455DEC" w:rsidRPr="0052405E">
        <w:rPr>
          <w:rStyle w:val="Emphasis"/>
          <w:i w:val="0"/>
          <w:sz w:val="22"/>
          <w:szCs w:val="22"/>
        </w:rPr>
        <w:t>products and services</w:t>
      </w:r>
      <w:r w:rsidR="009B4E1C" w:rsidRPr="0052405E">
        <w:rPr>
          <w:rStyle w:val="Emphasis"/>
          <w:i w:val="0"/>
          <w:sz w:val="22"/>
          <w:szCs w:val="22"/>
        </w:rPr>
        <w:t xml:space="preserve"> negotiated</w:t>
      </w:r>
      <w:r w:rsidRPr="0052405E">
        <w:rPr>
          <w:rStyle w:val="Emphasis"/>
          <w:i w:val="0"/>
          <w:sz w:val="22"/>
          <w:szCs w:val="22"/>
        </w:rPr>
        <w:t xml:space="preserve"> with the preferred supplier</w:t>
      </w:r>
      <w:r w:rsidR="00455DEC" w:rsidRPr="0052405E">
        <w:rPr>
          <w:rStyle w:val="Emphasis"/>
          <w:i w:val="0"/>
          <w:sz w:val="22"/>
          <w:szCs w:val="22"/>
          <w:highlight w:val="yellow"/>
        </w:rPr>
        <w:t>/</w:t>
      </w:r>
      <w:r w:rsidR="009B4E1C" w:rsidRPr="0052405E">
        <w:rPr>
          <w:rStyle w:val="Emphasis"/>
          <w:i w:val="0"/>
          <w:sz w:val="22"/>
          <w:szCs w:val="22"/>
          <w:highlight w:val="yellow"/>
        </w:rPr>
        <w:t>s</w:t>
      </w:r>
      <w:r w:rsidRPr="0052405E">
        <w:rPr>
          <w:rStyle w:val="Emphasis"/>
          <w:i w:val="0"/>
          <w:sz w:val="22"/>
          <w:szCs w:val="22"/>
        </w:rPr>
        <w:t xml:space="preserve"> </w:t>
      </w:r>
      <w:r w:rsidRPr="0052405E">
        <w:rPr>
          <w:rStyle w:val="Emphasis"/>
          <w:i w:val="0"/>
          <w:color w:val="000000"/>
          <w:sz w:val="22"/>
          <w:szCs w:val="22"/>
        </w:rPr>
        <w:t>a</w:t>
      </w:r>
      <w:r w:rsidR="00BC5ACC" w:rsidRPr="0052405E">
        <w:rPr>
          <w:rStyle w:val="Emphasis"/>
          <w:i w:val="0"/>
          <w:color w:val="000000"/>
          <w:sz w:val="22"/>
          <w:szCs w:val="22"/>
        </w:rPr>
        <w:t>nd</w:t>
      </w:r>
      <w:r w:rsidRPr="0052405E">
        <w:rPr>
          <w:rStyle w:val="Emphasis"/>
          <w:i w:val="0"/>
          <w:color w:val="000000"/>
          <w:sz w:val="22"/>
          <w:szCs w:val="22"/>
        </w:rPr>
        <w:t xml:space="preserve"> </w:t>
      </w:r>
      <w:r w:rsidR="00BC5ACC" w:rsidRPr="0052405E">
        <w:rPr>
          <w:rStyle w:val="Emphasis"/>
          <w:i w:val="0"/>
          <w:color w:val="000000"/>
          <w:sz w:val="22"/>
          <w:szCs w:val="22"/>
        </w:rPr>
        <w:t>the contract period are:</w:t>
      </w:r>
      <w:r w:rsidR="00455DEC" w:rsidRPr="0052405E">
        <w:rPr>
          <w:rStyle w:val="Emphasis"/>
          <w:i w:val="0"/>
          <w:color w:val="000000"/>
          <w:sz w:val="22"/>
          <w:szCs w:val="22"/>
        </w:rPr>
        <w:t xml:space="preserve"> </w:t>
      </w:r>
    </w:p>
    <w:p w14:paraId="4669957D" w14:textId="77777777" w:rsidR="00BC5ACC" w:rsidRPr="00482953" w:rsidRDefault="00BC5ACC" w:rsidP="00414BEF">
      <w:pPr>
        <w:pStyle w:val="TableHeading1"/>
        <w:spacing w:after="60" w:line="240" w:lineRule="auto"/>
      </w:pPr>
      <w:r w:rsidRPr="00482953">
        <w:t xml:space="preserve">Table </w:t>
      </w:r>
      <w:r w:rsidRPr="00482953">
        <w:rPr>
          <w:highlight w:val="yellow"/>
        </w:rPr>
        <w:t>x</w:t>
      </w:r>
      <w:r w:rsidRPr="00482953">
        <w:t xml:space="preserve">: </w:t>
      </w:r>
      <w:r>
        <w:rPr>
          <w:b w:val="0"/>
        </w:rPr>
        <w:t>Contracted products and services and contract period</w:t>
      </w:r>
      <w:r w:rsidRPr="00482953">
        <w:t xml:space="preserve"> </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6350"/>
        <w:gridCol w:w="3006"/>
      </w:tblGrid>
      <w:tr w:rsidR="00BC5ACC" w:rsidRPr="004C1278" w14:paraId="4E90435C" w14:textId="77777777" w:rsidTr="0052405E">
        <w:tc>
          <w:tcPr>
            <w:tcW w:w="6350" w:type="dxa"/>
            <w:shd w:val="clear" w:color="auto" w:fill="DEEAF5"/>
            <w:vAlign w:val="bottom"/>
          </w:tcPr>
          <w:p w14:paraId="5B98BB91" w14:textId="77777777" w:rsidR="00BC5ACC" w:rsidRPr="009911C3" w:rsidRDefault="00BC5ACC" w:rsidP="003D5AF3">
            <w:pPr>
              <w:pStyle w:val="TableHeading"/>
              <w:spacing w:before="40" w:after="40" w:line="240" w:lineRule="exact"/>
            </w:pPr>
            <w:r>
              <w:t>Product or service</w:t>
            </w:r>
          </w:p>
        </w:tc>
        <w:tc>
          <w:tcPr>
            <w:tcW w:w="3006" w:type="dxa"/>
            <w:shd w:val="clear" w:color="auto" w:fill="DEEAF5"/>
            <w:vAlign w:val="bottom"/>
          </w:tcPr>
          <w:p w14:paraId="0D609DBE" w14:textId="3187BA20" w:rsidR="00BC5ACC" w:rsidRPr="009911C3" w:rsidRDefault="00BC5ACC" w:rsidP="003D5AF3">
            <w:pPr>
              <w:pStyle w:val="TableHeading"/>
              <w:spacing w:before="40" w:after="40" w:line="240" w:lineRule="exact"/>
            </w:pPr>
            <w:r>
              <w:t>Contract period</w:t>
            </w:r>
            <w:r w:rsidR="001B42CB">
              <w:t xml:space="preserve"> </w:t>
            </w:r>
          </w:p>
        </w:tc>
      </w:tr>
      <w:tr w:rsidR="00BC5ACC" w:rsidRPr="00CC1667" w14:paraId="03703C9E" w14:textId="77777777" w:rsidTr="0052405E">
        <w:tc>
          <w:tcPr>
            <w:tcW w:w="6350" w:type="dxa"/>
          </w:tcPr>
          <w:p w14:paraId="0F750940" w14:textId="77777777" w:rsidR="00BC5ACC" w:rsidRPr="009911C3" w:rsidRDefault="00BC5ACC" w:rsidP="003D5AF3">
            <w:pPr>
              <w:pStyle w:val="TableText"/>
              <w:spacing w:before="40" w:after="40" w:line="240" w:lineRule="exact"/>
            </w:pPr>
          </w:p>
        </w:tc>
        <w:tc>
          <w:tcPr>
            <w:tcW w:w="3006" w:type="dxa"/>
          </w:tcPr>
          <w:p w14:paraId="17F09426" w14:textId="77777777" w:rsidR="00BC5ACC" w:rsidRPr="00B51A7E" w:rsidRDefault="00BC5ACC" w:rsidP="003D5AF3">
            <w:pPr>
              <w:pStyle w:val="TableBullet"/>
              <w:numPr>
                <w:ilvl w:val="0"/>
                <w:numId w:val="0"/>
              </w:numPr>
              <w:spacing w:before="40" w:after="40" w:line="240" w:lineRule="exact"/>
            </w:pPr>
          </w:p>
        </w:tc>
      </w:tr>
    </w:tbl>
    <w:p w14:paraId="53114F8F" w14:textId="77777777" w:rsidR="006A024A" w:rsidRDefault="006A024A" w:rsidP="006A024A">
      <w:pPr>
        <w:spacing w:after="0" w:line="240" w:lineRule="atLeast"/>
        <w:rPr>
          <w:rStyle w:val="Emphasis"/>
          <w:i w:val="0"/>
        </w:rPr>
      </w:pPr>
    </w:p>
    <w:p w14:paraId="2F0DD633" w14:textId="19D9C96E" w:rsidR="0099400C" w:rsidRPr="0052405E" w:rsidRDefault="0099400C" w:rsidP="0052405E">
      <w:pPr>
        <w:keepNext/>
        <w:keepLines/>
        <w:spacing w:line="260" w:lineRule="atLeast"/>
        <w:rPr>
          <w:rStyle w:val="Emphasis"/>
          <w:i w:val="0"/>
          <w:sz w:val="22"/>
          <w:szCs w:val="22"/>
        </w:rPr>
      </w:pPr>
      <w:r w:rsidRPr="0052405E">
        <w:rPr>
          <w:rStyle w:val="Emphasis"/>
          <w:i w:val="0"/>
          <w:sz w:val="22"/>
          <w:szCs w:val="22"/>
        </w:rPr>
        <w:lastRenderedPageBreak/>
        <w:t xml:space="preserve">The </w:t>
      </w:r>
      <w:r w:rsidR="008454E9" w:rsidRPr="0052405E">
        <w:rPr>
          <w:rStyle w:val="Emphasis"/>
          <w:i w:val="0"/>
          <w:sz w:val="22"/>
          <w:szCs w:val="22"/>
        </w:rPr>
        <w:t>key contract</w:t>
      </w:r>
      <w:r w:rsidRPr="0052405E">
        <w:rPr>
          <w:rStyle w:val="Emphasis"/>
          <w:i w:val="0"/>
          <w:sz w:val="22"/>
          <w:szCs w:val="22"/>
        </w:rPr>
        <w:t xml:space="preserve"> milestones agreed with the preferred supplier</w:t>
      </w:r>
      <w:r w:rsidR="00455DEC" w:rsidRPr="0052405E">
        <w:rPr>
          <w:rStyle w:val="Emphasis"/>
          <w:i w:val="0"/>
          <w:sz w:val="22"/>
          <w:szCs w:val="22"/>
          <w:highlight w:val="yellow"/>
        </w:rPr>
        <w:t>/</w:t>
      </w:r>
      <w:r w:rsidR="009B4E1C" w:rsidRPr="0052405E">
        <w:rPr>
          <w:rStyle w:val="Emphasis"/>
          <w:i w:val="0"/>
          <w:sz w:val="22"/>
          <w:szCs w:val="22"/>
          <w:highlight w:val="yellow"/>
        </w:rPr>
        <w:t>s</w:t>
      </w:r>
      <w:r w:rsidRPr="0052405E">
        <w:rPr>
          <w:rStyle w:val="Emphasis"/>
          <w:i w:val="0"/>
          <w:sz w:val="22"/>
          <w:szCs w:val="22"/>
        </w:rPr>
        <w:t xml:space="preserve"> are</w:t>
      </w:r>
    </w:p>
    <w:p w14:paraId="40DF1E52" w14:textId="77777777" w:rsidR="00884C48" w:rsidRPr="00482953" w:rsidRDefault="00884C48" w:rsidP="00414BEF">
      <w:pPr>
        <w:pStyle w:val="TableHeading1"/>
        <w:spacing w:after="60" w:line="240" w:lineRule="auto"/>
      </w:pPr>
      <w:r w:rsidRPr="00482953">
        <w:t xml:space="preserve">Table </w:t>
      </w:r>
      <w:r w:rsidRPr="00482953">
        <w:rPr>
          <w:highlight w:val="yellow"/>
        </w:rPr>
        <w:t>x</w:t>
      </w:r>
      <w:r w:rsidRPr="00482953">
        <w:t xml:space="preserve">: </w:t>
      </w:r>
      <w:r>
        <w:rPr>
          <w:b w:val="0"/>
        </w:rPr>
        <w:t>Key contract milestones</w:t>
      </w:r>
      <w:r w:rsidRPr="00482953">
        <w:t xml:space="preserve"> </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6350"/>
        <w:gridCol w:w="3006"/>
      </w:tblGrid>
      <w:tr w:rsidR="00884C48" w:rsidRPr="004C1278" w14:paraId="00A33822" w14:textId="77777777" w:rsidTr="00E204ED">
        <w:tc>
          <w:tcPr>
            <w:tcW w:w="6350" w:type="dxa"/>
            <w:shd w:val="clear" w:color="auto" w:fill="DEEAF5"/>
            <w:vAlign w:val="bottom"/>
          </w:tcPr>
          <w:p w14:paraId="4A9B07AE" w14:textId="77777777" w:rsidR="00884C48" w:rsidRPr="009911C3" w:rsidRDefault="007C273F" w:rsidP="0052405E">
            <w:pPr>
              <w:pStyle w:val="TableHeading"/>
              <w:keepNext/>
              <w:keepLines/>
              <w:spacing w:before="40" w:after="40" w:line="240" w:lineRule="exact"/>
            </w:pPr>
            <w:r>
              <w:t>Contract milestones</w:t>
            </w:r>
          </w:p>
        </w:tc>
        <w:tc>
          <w:tcPr>
            <w:tcW w:w="3006" w:type="dxa"/>
            <w:shd w:val="clear" w:color="auto" w:fill="DEEAF5"/>
            <w:vAlign w:val="bottom"/>
          </w:tcPr>
          <w:p w14:paraId="38827A86" w14:textId="77777777" w:rsidR="00884C48" w:rsidRPr="009911C3" w:rsidRDefault="00884C48" w:rsidP="0052405E">
            <w:pPr>
              <w:pStyle w:val="TableHeading"/>
              <w:keepNext/>
              <w:keepLines/>
              <w:spacing w:before="40" w:after="40" w:line="240" w:lineRule="exact"/>
            </w:pPr>
            <w:r>
              <w:t>Estimated date</w:t>
            </w:r>
          </w:p>
        </w:tc>
      </w:tr>
      <w:tr w:rsidR="00884C48" w:rsidRPr="00CC1667" w14:paraId="5C015AFD" w14:textId="77777777" w:rsidTr="00425814">
        <w:tc>
          <w:tcPr>
            <w:tcW w:w="6350" w:type="dxa"/>
          </w:tcPr>
          <w:p w14:paraId="10AD0E7A" w14:textId="77777777" w:rsidR="00884C48" w:rsidRPr="009911C3" w:rsidRDefault="00884C48" w:rsidP="003D5AF3">
            <w:pPr>
              <w:pStyle w:val="TableText"/>
              <w:spacing w:before="40" w:after="40" w:line="240" w:lineRule="exact"/>
            </w:pPr>
          </w:p>
        </w:tc>
        <w:tc>
          <w:tcPr>
            <w:tcW w:w="3006" w:type="dxa"/>
          </w:tcPr>
          <w:p w14:paraId="5A11128C" w14:textId="77777777" w:rsidR="00884C48" w:rsidRPr="00B51A7E" w:rsidRDefault="00884C48" w:rsidP="003D5AF3">
            <w:pPr>
              <w:pStyle w:val="TableBullet"/>
              <w:numPr>
                <w:ilvl w:val="0"/>
                <w:numId w:val="0"/>
              </w:numPr>
              <w:spacing w:before="40" w:after="40" w:line="240" w:lineRule="exact"/>
            </w:pPr>
          </w:p>
        </w:tc>
      </w:tr>
      <w:tr w:rsidR="00884C48" w:rsidRPr="00CC1667" w14:paraId="0B54361E" w14:textId="77777777" w:rsidTr="00E204ED">
        <w:tc>
          <w:tcPr>
            <w:tcW w:w="6350" w:type="dxa"/>
          </w:tcPr>
          <w:p w14:paraId="3B0C8110" w14:textId="77777777" w:rsidR="00884C48" w:rsidRPr="009911C3" w:rsidRDefault="00884C48" w:rsidP="003D5AF3">
            <w:pPr>
              <w:pStyle w:val="TableText"/>
              <w:spacing w:before="40" w:after="40" w:line="240" w:lineRule="exact"/>
            </w:pPr>
          </w:p>
        </w:tc>
        <w:tc>
          <w:tcPr>
            <w:tcW w:w="3006" w:type="dxa"/>
          </w:tcPr>
          <w:p w14:paraId="69C024E4" w14:textId="77777777" w:rsidR="00884C48" w:rsidRPr="00B51A7E" w:rsidRDefault="00884C48" w:rsidP="003D5AF3">
            <w:pPr>
              <w:pStyle w:val="TableBullet"/>
              <w:numPr>
                <w:ilvl w:val="0"/>
                <w:numId w:val="0"/>
              </w:numPr>
              <w:spacing w:before="40" w:after="40" w:line="240" w:lineRule="exact"/>
            </w:pPr>
          </w:p>
        </w:tc>
      </w:tr>
      <w:tr w:rsidR="00884C48" w:rsidRPr="00CC1667" w14:paraId="2B2F6EA1" w14:textId="77777777" w:rsidTr="00E204ED">
        <w:tc>
          <w:tcPr>
            <w:tcW w:w="6350" w:type="dxa"/>
          </w:tcPr>
          <w:p w14:paraId="38ACD6F8" w14:textId="77777777" w:rsidR="00884C48" w:rsidRPr="009911C3" w:rsidRDefault="00884C48" w:rsidP="003D5AF3">
            <w:pPr>
              <w:pStyle w:val="TableText"/>
              <w:spacing w:before="40" w:after="40" w:line="240" w:lineRule="exact"/>
            </w:pPr>
          </w:p>
        </w:tc>
        <w:tc>
          <w:tcPr>
            <w:tcW w:w="3006" w:type="dxa"/>
          </w:tcPr>
          <w:p w14:paraId="59BFB92A" w14:textId="77777777" w:rsidR="00884C48" w:rsidRPr="00B51A7E" w:rsidRDefault="00884C48" w:rsidP="003D5AF3">
            <w:pPr>
              <w:pStyle w:val="TableBullet"/>
              <w:numPr>
                <w:ilvl w:val="0"/>
                <w:numId w:val="0"/>
              </w:numPr>
              <w:spacing w:before="40" w:after="40" w:line="240" w:lineRule="exact"/>
            </w:pPr>
          </w:p>
        </w:tc>
      </w:tr>
      <w:tr w:rsidR="00884C48" w:rsidRPr="00CC1667" w14:paraId="22C65DA6" w14:textId="77777777" w:rsidTr="00E204ED">
        <w:tc>
          <w:tcPr>
            <w:tcW w:w="6350" w:type="dxa"/>
          </w:tcPr>
          <w:p w14:paraId="55B3DF51" w14:textId="77777777" w:rsidR="00884C48" w:rsidRPr="009911C3" w:rsidRDefault="00884C48" w:rsidP="003D5AF3">
            <w:pPr>
              <w:pStyle w:val="TableText"/>
              <w:spacing w:before="40" w:after="40" w:line="240" w:lineRule="exact"/>
            </w:pPr>
          </w:p>
        </w:tc>
        <w:tc>
          <w:tcPr>
            <w:tcW w:w="3006" w:type="dxa"/>
          </w:tcPr>
          <w:p w14:paraId="708B158B" w14:textId="77777777" w:rsidR="00884C48" w:rsidRPr="00B51A7E" w:rsidRDefault="00884C48" w:rsidP="003D5AF3">
            <w:pPr>
              <w:pStyle w:val="TableBullet"/>
              <w:numPr>
                <w:ilvl w:val="0"/>
                <w:numId w:val="0"/>
              </w:numPr>
              <w:spacing w:before="40" w:after="40" w:line="240" w:lineRule="exact"/>
            </w:pPr>
          </w:p>
        </w:tc>
      </w:tr>
    </w:tbl>
    <w:p w14:paraId="2F036F5D" w14:textId="77777777" w:rsidR="00CF7014" w:rsidRPr="00E204ED" w:rsidRDefault="00CF7014" w:rsidP="00996D0A">
      <w:pPr>
        <w:pStyle w:val="Heading3"/>
        <w:rPr>
          <w:rStyle w:val="Emphasis"/>
          <w:i w:val="0"/>
          <w:sz w:val="22"/>
        </w:rPr>
      </w:pPr>
      <w:r w:rsidRPr="00E204ED">
        <w:rPr>
          <w:rStyle w:val="Emphasis"/>
          <w:i w:val="0"/>
          <w:sz w:val="22"/>
        </w:rPr>
        <w:t xml:space="preserve">Negotiated </w:t>
      </w:r>
      <w:r w:rsidRPr="00E204ED">
        <w:rPr>
          <w:rStyle w:val="Emphasis"/>
          <w:i w:val="0"/>
          <w:iCs w:val="0"/>
          <w:sz w:val="22"/>
        </w:rPr>
        <w:t>contract</w:t>
      </w:r>
      <w:r w:rsidRPr="00E204ED">
        <w:rPr>
          <w:rStyle w:val="Emphasis"/>
          <w:i w:val="0"/>
          <w:sz w:val="22"/>
        </w:rPr>
        <w:t xml:space="preserve"> type and key clauses</w:t>
      </w:r>
    </w:p>
    <w:p w14:paraId="31D41642" w14:textId="77777777" w:rsidR="00CF7014" w:rsidRPr="00E204ED" w:rsidRDefault="00CF7014" w:rsidP="003D5AF3">
      <w:pPr>
        <w:spacing w:line="260" w:lineRule="atLeast"/>
        <w:rPr>
          <w:rStyle w:val="Emphasis"/>
          <w:i w:val="0"/>
          <w:sz w:val="22"/>
          <w:szCs w:val="22"/>
        </w:rPr>
      </w:pPr>
      <w:r w:rsidRPr="00E204ED">
        <w:rPr>
          <w:rStyle w:val="Emphasis"/>
          <w:i w:val="0"/>
          <w:sz w:val="22"/>
          <w:szCs w:val="22"/>
        </w:rPr>
        <w:t>The agreed key contractual clauses include</w:t>
      </w:r>
      <w:r w:rsidRPr="00E204ED">
        <w:rPr>
          <w:rStyle w:val="Emphasis"/>
          <w:i w:val="0"/>
          <w:sz w:val="22"/>
          <w:szCs w:val="22"/>
          <w:highlight w:val="yellow"/>
        </w:rPr>
        <w:t xml:space="preserve">: </w:t>
      </w:r>
      <w:r w:rsidR="007C273F" w:rsidRPr="00E204ED">
        <w:rPr>
          <w:rStyle w:val="Emphasis"/>
          <w:color w:val="0000FF"/>
          <w:sz w:val="22"/>
          <w:szCs w:val="22"/>
          <w:highlight w:val="yellow"/>
        </w:rPr>
        <w:t>list</w:t>
      </w:r>
      <w:r w:rsidR="00BC5ACC" w:rsidRPr="00E204ED">
        <w:rPr>
          <w:rStyle w:val="Emphasis"/>
          <w:color w:val="0000FF"/>
          <w:sz w:val="22"/>
          <w:szCs w:val="22"/>
          <w:highlight w:val="yellow"/>
        </w:rPr>
        <w:t>, using a table if necessary</w:t>
      </w:r>
    </w:p>
    <w:p w14:paraId="3066A2CA" w14:textId="77777777" w:rsidR="0099400C" w:rsidRPr="00E204ED" w:rsidRDefault="0099400C" w:rsidP="00996D0A">
      <w:pPr>
        <w:pStyle w:val="Heading3"/>
        <w:rPr>
          <w:rStyle w:val="Emphasis"/>
          <w:i w:val="0"/>
          <w:sz w:val="22"/>
        </w:rPr>
      </w:pPr>
      <w:bookmarkStart w:id="80" w:name="_Negotiated_risk_allocation"/>
      <w:bookmarkEnd w:id="80"/>
      <w:r w:rsidRPr="00E204ED">
        <w:rPr>
          <w:rStyle w:val="Emphasis"/>
          <w:i w:val="0"/>
          <w:sz w:val="22"/>
        </w:rPr>
        <w:t xml:space="preserve">Negotiated risk </w:t>
      </w:r>
      <w:r w:rsidRPr="00E204ED">
        <w:rPr>
          <w:rStyle w:val="Emphasis"/>
          <w:i w:val="0"/>
          <w:iCs w:val="0"/>
          <w:sz w:val="22"/>
        </w:rPr>
        <w:t>allocation</w:t>
      </w:r>
    </w:p>
    <w:p w14:paraId="1F0B9406" w14:textId="5C9770AA" w:rsidR="00883FF1" w:rsidRPr="0052405E" w:rsidRDefault="00883FF1" w:rsidP="006A024A">
      <w:pPr>
        <w:pStyle w:val="TableText"/>
        <w:spacing w:before="0" w:after="120" w:line="260" w:lineRule="atLeast"/>
        <w:rPr>
          <w:i/>
          <w:iCs/>
          <w:color w:val="0000FF"/>
          <w:sz w:val="22"/>
        </w:rPr>
      </w:pPr>
      <w:r w:rsidRPr="00E204ED">
        <w:rPr>
          <w:i/>
          <w:iCs/>
          <w:color w:val="0000FF"/>
          <w:sz w:val="22"/>
        </w:rPr>
        <w:t>Mandatory for PPP projects only</w:t>
      </w:r>
      <w:r w:rsidR="00FB1566" w:rsidRPr="00E204ED">
        <w:rPr>
          <w:i/>
          <w:iCs/>
          <w:color w:val="0000FF"/>
          <w:sz w:val="22"/>
        </w:rPr>
        <w:t>, recommended to consider for infrastructure projects, consider whether feasible for other projects</w:t>
      </w:r>
      <w:r w:rsidRPr="00E204ED">
        <w:rPr>
          <w:rStyle w:val="Emphasis"/>
          <w:i w:val="0"/>
          <w:sz w:val="22"/>
        </w:rPr>
        <w:t>.</w:t>
      </w:r>
      <w:r w:rsidR="00FB1566" w:rsidRPr="00E204ED">
        <w:rPr>
          <w:rStyle w:val="Emphasis"/>
          <w:i w:val="0"/>
          <w:sz w:val="22"/>
        </w:rPr>
        <w:t xml:space="preserve"> </w:t>
      </w:r>
      <w:r w:rsidR="0099400C" w:rsidRPr="00E204ED">
        <w:rPr>
          <w:rStyle w:val="Emphasis"/>
          <w:i w:val="0"/>
          <w:sz w:val="22"/>
        </w:rPr>
        <w:t>The risks</w:t>
      </w:r>
      <w:r w:rsidR="00CF459B" w:rsidRPr="00E204ED">
        <w:rPr>
          <w:rStyle w:val="Emphasis"/>
          <w:i w:val="0"/>
          <w:sz w:val="22"/>
        </w:rPr>
        <w:t xml:space="preserve"> related to contracted services</w:t>
      </w:r>
      <w:r w:rsidR="0099400C" w:rsidRPr="00E204ED">
        <w:rPr>
          <w:rStyle w:val="Emphasis"/>
          <w:i w:val="0"/>
          <w:sz w:val="22"/>
        </w:rPr>
        <w:t xml:space="preserve"> (design, build, </w:t>
      </w:r>
      <w:r w:rsidR="00CF459B" w:rsidRPr="00E204ED">
        <w:rPr>
          <w:rStyle w:val="Emphasis"/>
          <w:i w:val="0"/>
          <w:sz w:val="22"/>
        </w:rPr>
        <w:t xml:space="preserve">transition </w:t>
      </w:r>
      <w:r w:rsidR="0099400C" w:rsidRPr="00E204ED">
        <w:rPr>
          <w:rStyle w:val="Emphasis"/>
          <w:i w:val="0"/>
          <w:sz w:val="22"/>
        </w:rPr>
        <w:t>and operational</w:t>
      </w:r>
      <w:r w:rsidR="00CF459B" w:rsidRPr="00E204ED">
        <w:rPr>
          <w:rStyle w:val="Emphasis"/>
          <w:i w:val="0"/>
          <w:sz w:val="22"/>
        </w:rPr>
        <w:t>/</w:t>
      </w:r>
      <w:r w:rsidR="007C273F" w:rsidRPr="00E204ED">
        <w:rPr>
          <w:rStyle w:val="Emphasis"/>
          <w:i w:val="0"/>
          <w:sz w:val="22"/>
        </w:rPr>
        <w:t xml:space="preserve"> </w:t>
      </w:r>
      <w:r w:rsidR="00CF459B" w:rsidRPr="00E204ED">
        <w:rPr>
          <w:rStyle w:val="Emphasis"/>
          <w:i w:val="0"/>
          <w:sz w:val="22"/>
        </w:rPr>
        <w:t>performance</w:t>
      </w:r>
      <w:r w:rsidR="0099400C" w:rsidRPr="00E204ED">
        <w:rPr>
          <w:rStyle w:val="Emphasis"/>
          <w:i w:val="0"/>
          <w:sz w:val="22"/>
        </w:rPr>
        <w:t xml:space="preserve">) are agreed to be apportioned </w:t>
      </w:r>
      <w:r w:rsidR="00CF459B" w:rsidRPr="00E204ED">
        <w:rPr>
          <w:rStyle w:val="Emphasis"/>
          <w:i w:val="0"/>
          <w:sz w:val="22"/>
        </w:rPr>
        <w:t>to the preferred suppliers as follows:</w:t>
      </w:r>
      <w:r w:rsidRPr="00E204ED">
        <w:rPr>
          <w:i/>
          <w:iCs/>
          <w:color w:val="0000FF"/>
          <w:sz w:val="22"/>
        </w:rPr>
        <w:t xml:space="preserve"> show risk transfer in Design, Build, Finance, and Operate </w:t>
      </w:r>
      <w:r w:rsidR="008B52AA" w:rsidRPr="00E204ED">
        <w:rPr>
          <w:i/>
          <w:iCs/>
          <w:color w:val="0000FF"/>
          <w:sz w:val="22"/>
        </w:rPr>
        <w:t>stages, if</w:t>
      </w:r>
      <w:r w:rsidRPr="00E204ED">
        <w:rPr>
          <w:i/>
          <w:iCs/>
          <w:color w:val="0000FF"/>
          <w:sz w:val="22"/>
        </w:rPr>
        <w:t xml:space="preserve"> the supplier is better able to influence the outcome than</w:t>
      </w:r>
      <w:r w:rsidRPr="0052405E">
        <w:rPr>
          <w:i/>
          <w:iCs/>
          <w:color w:val="0000FF"/>
          <w:sz w:val="22"/>
        </w:rPr>
        <w:t xml:space="preserve"> the purchaser; where the supplier has clear ownership, responsibility and control.</w:t>
      </w:r>
    </w:p>
    <w:p w14:paraId="0538297E" w14:textId="3F4E340F" w:rsidR="00741019" w:rsidRPr="00482953" w:rsidRDefault="00455DEC" w:rsidP="00414BEF">
      <w:pPr>
        <w:pStyle w:val="TableHeading1"/>
        <w:spacing w:after="60" w:line="240" w:lineRule="auto"/>
      </w:pPr>
      <w:r w:rsidRPr="00482953">
        <w:t xml:space="preserve">Table </w:t>
      </w:r>
      <w:r w:rsidRPr="00482953">
        <w:rPr>
          <w:highlight w:val="yellow"/>
        </w:rPr>
        <w:t>x</w:t>
      </w:r>
      <w:r w:rsidR="00741019" w:rsidRPr="00482953">
        <w:t xml:space="preserve">: </w:t>
      </w:r>
      <w:r w:rsidR="00AD21B1" w:rsidRPr="00AD21B1">
        <w:rPr>
          <w:b w:val="0"/>
        </w:rPr>
        <w:t xml:space="preserve">Summary of </w:t>
      </w:r>
      <w:r w:rsidR="00DF6FB9" w:rsidRPr="00884C48">
        <w:rPr>
          <w:b w:val="0"/>
        </w:rPr>
        <w:t>Supplier r</w:t>
      </w:r>
      <w:r w:rsidR="00741019" w:rsidRPr="00884C48">
        <w:rPr>
          <w:b w:val="0"/>
        </w:rPr>
        <w:t>isk allocation table</w:t>
      </w:r>
      <w:r w:rsidR="00741019" w:rsidRPr="00482953">
        <w:t xml:space="preserve"> </w:t>
      </w:r>
    </w:p>
    <w:tbl>
      <w:tblPr>
        <w:tblW w:w="9327"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3799"/>
        <w:gridCol w:w="5528"/>
      </w:tblGrid>
      <w:tr w:rsidR="00CF459B" w:rsidRPr="004C1278" w14:paraId="504E70A2" w14:textId="77777777" w:rsidTr="00E204ED">
        <w:tc>
          <w:tcPr>
            <w:tcW w:w="3799" w:type="dxa"/>
            <w:shd w:val="clear" w:color="auto" w:fill="CCD3E1"/>
          </w:tcPr>
          <w:p w14:paraId="569C8B08" w14:textId="77777777" w:rsidR="00CF459B" w:rsidRPr="009911C3" w:rsidRDefault="00CF459B" w:rsidP="003D5AF3">
            <w:pPr>
              <w:pStyle w:val="TableHeading"/>
              <w:keepNext/>
              <w:spacing w:before="40" w:after="40"/>
            </w:pPr>
            <w:r>
              <w:t>Key Risk</w:t>
            </w:r>
          </w:p>
        </w:tc>
        <w:tc>
          <w:tcPr>
            <w:tcW w:w="5528" w:type="dxa"/>
            <w:shd w:val="clear" w:color="auto" w:fill="CCD3E1"/>
          </w:tcPr>
          <w:p w14:paraId="4E8E9DF4" w14:textId="77777777" w:rsidR="00CF459B" w:rsidRPr="009911C3" w:rsidRDefault="00CF459B" w:rsidP="003D5AF3">
            <w:pPr>
              <w:pStyle w:val="TableHeading"/>
              <w:keepNext/>
              <w:spacing w:before="40" w:after="40"/>
            </w:pPr>
            <w:r>
              <w:t xml:space="preserve">Supplier </w:t>
            </w:r>
            <w:r w:rsidR="00DF6FB9">
              <w:t xml:space="preserve">risk </w:t>
            </w:r>
            <w:r>
              <w:t>allocation</w:t>
            </w:r>
          </w:p>
        </w:tc>
      </w:tr>
      <w:tr w:rsidR="00CF459B" w:rsidRPr="00CC1667" w14:paraId="26FAAD60" w14:textId="77777777" w:rsidTr="00E204ED">
        <w:trPr>
          <w:trHeight w:val="283"/>
        </w:trPr>
        <w:tc>
          <w:tcPr>
            <w:tcW w:w="3799" w:type="dxa"/>
          </w:tcPr>
          <w:p w14:paraId="6C43CC44" w14:textId="77777777" w:rsidR="00CF459B" w:rsidRPr="003F314D" w:rsidRDefault="00CF459B" w:rsidP="003D5AF3">
            <w:pPr>
              <w:pStyle w:val="TableText"/>
              <w:spacing w:before="40" w:after="40"/>
            </w:pPr>
          </w:p>
        </w:tc>
        <w:tc>
          <w:tcPr>
            <w:tcW w:w="5528" w:type="dxa"/>
          </w:tcPr>
          <w:p w14:paraId="00004F9B" w14:textId="77777777" w:rsidR="00CF459B" w:rsidRPr="00741019" w:rsidRDefault="00CF459B" w:rsidP="003D5AF3">
            <w:pPr>
              <w:pStyle w:val="TableText"/>
              <w:spacing w:before="40" w:after="40"/>
            </w:pPr>
          </w:p>
        </w:tc>
      </w:tr>
      <w:tr w:rsidR="00CF459B" w:rsidRPr="00CC1667" w14:paraId="047FF1E0" w14:textId="77777777" w:rsidTr="00E204ED">
        <w:trPr>
          <w:trHeight w:val="283"/>
        </w:trPr>
        <w:tc>
          <w:tcPr>
            <w:tcW w:w="3799" w:type="dxa"/>
          </w:tcPr>
          <w:p w14:paraId="79D9FAF6" w14:textId="77777777" w:rsidR="00CF459B" w:rsidRPr="003F314D" w:rsidRDefault="00CF459B" w:rsidP="003D5AF3">
            <w:pPr>
              <w:pStyle w:val="TableText"/>
              <w:spacing w:before="40" w:after="40"/>
            </w:pPr>
          </w:p>
        </w:tc>
        <w:tc>
          <w:tcPr>
            <w:tcW w:w="5528" w:type="dxa"/>
          </w:tcPr>
          <w:p w14:paraId="3A7DBB1C" w14:textId="77777777" w:rsidR="00CF459B" w:rsidRPr="00741019" w:rsidRDefault="00CF459B" w:rsidP="003D5AF3">
            <w:pPr>
              <w:pStyle w:val="TableText"/>
              <w:spacing w:before="40" w:after="40"/>
            </w:pPr>
          </w:p>
        </w:tc>
      </w:tr>
      <w:tr w:rsidR="00CF459B" w:rsidRPr="00CC1667" w14:paraId="5DE241EB" w14:textId="77777777" w:rsidTr="00E204ED">
        <w:trPr>
          <w:trHeight w:val="283"/>
        </w:trPr>
        <w:tc>
          <w:tcPr>
            <w:tcW w:w="3799" w:type="dxa"/>
          </w:tcPr>
          <w:p w14:paraId="3B6EC38A" w14:textId="77777777" w:rsidR="00CF459B" w:rsidRPr="003F314D" w:rsidRDefault="00CF459B" w:rsidP="003D5AF3">
            <w:pPr>
              <w:pStyle w:val="TableText"/>
              <w:spacing w:before="40" w:after="40"/>
            </w:pPr>
          </w:p>
        </w:tc>
        <w:tc>
          <w:tcPr>
            <w:tcW w:w="5528" w:type="dxa"/>
          </w:tcPr>
          <w:p w14:paraId="23506292" w14:textId="77777777" w:rsidR="00CF459B" w:rsidRPr="00741019" w:rsidRDefault="00CF459B" w:rsidP="003D5AF3">
            <w:pPr>
              <w:pStyle w:val="TableText"/>
              <w:spacing w:before="40" w:after="40"/>
            </w:pPr>
          </w:p>
        </w:tc>
      </w:tr>
      <w:tr w:rsidR="00CF459B" w:rsidRPr="00CC1667" w14:paraId="3CF068B2" w14:textId="77777777" w:rsidTr="00E204ED">
        <w:trPr>
          <w:trHeight w:val="283"/>
        </w:trPr>
        <w:tc>
          <w:tcPr>
            <w:tcW w:w="3799" w:type="dxa"/>
          </w:tcPr>
          <w:p w14:paraId="4C07CE21" w14:textId="77777777" w:rsidR="00CF459B" w:rsidRPr="003F314D" w:rsidRDefault="00CF459B" w:rsidP="003D5AF3">
            <w:pPr>
              <w:pStyle w:val="TableText"/>
              <w:spacing w:before="40" w:after="40"/>
            </w:pPr>
          </w:p>
        </w:tc>
        <w:tc>
          <w:tcPr>
            <w:tcW w:w="5528" w:type="dxa"/>
          </w:tcPr>
          <w:p w14:paraId="627BA832" w14:textId="77777777" w:rsidR="00CF459B" w:rsidRPr="00741019" w:rsidRDefault="00CF459B" w:rsidP="003D5AF3">
            <w:pPr>
              <w:pStyle w:val="TableText"/>
              <w:spacing w:before="40" w:after="40"/>
            </w:pPr>
          </w:p>
        </w:tc>
      </w:tr>
      <w:tr w:rsidR="00883FF1" w:rsidRPr="00CC1667" w14:paraId="097223E2" w14:textId="77777777" w:rsidTr="00E204ED">
        <w:trPr>
          <w:trHeight w:val="283"/>
        </w:trPr>
        <w:tc>
          <w:tcPr>
            <w:tcW w:w="3799" w:type="dxa"/>
          </w:tcPr>
          <w:p w14:paraId="2874BFEA" w14:textId="77777777" w:rsidR="00883FF1" w:rsidRPr="003F314D" w:rsidRDefault="00883FF1" w:rsidP="003D5AF3">
            <w:pPr>
              <w:pStyle w:val="TableText"/>
              <w:spacing w:before="40" w:after="40"/>
            </w:pPr>
          </w:p>
        </w:tc>
        <w:tc>
          <w:tcPr>
            <w:tcW w:w="5528" w:type="dxa"/>
          </w:tcPr>
          <w:p w14:paraId="21F32F81" w14:textId="77777777" w:rsidR="00883FF1" w:rsidRPr="00741019" w:rsidRDefault="00883FF1" w:rsidP="003D5AF3">
            <w:pPr>
              <w:pStyle w:val="TableText"/>
              <w:spacing w:before="40" w:after="40"/>
            </w:pPr>
          </w:p>
        </w:tc>
      </w:tr>
    </w:tbl>
    <w:p w14:paraId="47FDF3A7" w14:textId="77777777" w:rsidR="00883FF1" w:rsidRPr="00D41E76" w:rsidRDefault="00883FF1" w:rsidP="00D41E76">
      <w:pPr>
        <w:spacing w:after="0" w:line="240" w:lineRule="atLeast"/>
        <w:rPr>
          <w:rStyle w:val="Emphasis"/>
          <w:iCs w:val="0"/>
          <w:color w:val="000000" w:themeColor="text1"/>
        </w:rPr>
      </w:pPr>
    </w:p>
    <w:p w14:paraId="4BF66BA2" w14:textId="707D7E3A" w:rsidR="00883FF1" w:rsidRPr="0052405E" w:rsidRDefault="00883FF1" w:rsidP="003D5AF3">
      <w:pPr>
        <w:spacing w:line="260" w:lineRule="atLeast"/>
        <w:rPr>
          <w:rStyle w:val="Emphasis"/>
          <w:i w:val="0"/>
          <w:color w:val="000000" w:themeColor="text1"/>
          <w:sz w:val="22"/>
          <w:szCs w:val="22"/>
        </w:rPr>
      </w:pPr>
      <w:r w:rsidRPr="0052405E">
        <w:rPr>
          <w:rStyle w:val="Emphasis"/>
          <w:iCs w:val="0"/>
          <w:color w:val="0000FF"/>
          <w:sz w:val="22"/>
          <w:szCs w:val="22"/>
        </w:rPr>
        <w:t>If this is complex</w:t>
      </w:r>
      <w:r w:rsidR="00BF6322" w:rsidRPr="0052405E">
        <w:rPr>
          <w:rStyle w:val="Emphasis"/>
          <w:iCs w:val="0"/>
          <w:color w:val="0000FF"/>
          <w:sz w:val="22"/>
          <w:szCs w:val="22"/>
        </w:rPr>
        <w:t xml:space="preserve"> or longer than 1 page</w:t>
      </w:r>
      <w:r w:rsidRPr="0052405E">
        <w:rPr>
          <w:rStyle w:val="Emphasis"/>
          <w:iCs w:val="0"/>
          <w:color w:val="0000FF"/>
          <w:sz w:val="22"/>
          <w:szCs w:val="22"/>
        </w:rPr>
        <w:t xml:space="preserve">, delete the </w:t>
      </w:r>
      <w:r w:rsidR="00BF6322" w:rsidRPr="0052405E">
        <w:rPr>
          <w:rStyle w:val="Emphasis"/>
          <w:iCs w:val="0"/>
          <w:color w:val="0000FF"/>
          <w:sz w:val="22"/>
          <w:szCs w:val="22"/>
        </w:rPr>
        <w:t xml:space="preserve">table </w:t>
      </w:r>
      <w:r w:rsidRPr="0052405E">
        <w:rPr>
          <w:rStyle w:val="Emphasis"/>
          <w:iCs w:val="0"/>
          <w:color w:val="0000FF"/>
          <w:sz w:val="22"/>
          <w:szCs w:val="22"/>
        </w:rPr>
        <w:t>above</w:t>
      </w:r>
      <w:r w:rsidR="00BF6322" w:rsidRPr="0052405E">
        <w:rPr>
          <w:rStyle w:val="Emphasis"/>
          <w:iCs w:val="0"/>
          <w:color w:val="0000FF"/>
          <w:sz w:val="22"/>
          <w:szCs w:val="22"/>
        </w:rPr>
        <w:t>, put the full table in Annex 4</w:t>
      </w:r>
      <w:r w:rsidRPr="0052405E">
        <w:rPr>
          <w:rStyle w:val="Emphasis"/>
          <w:iCs w:val="0"/>
          <w:color w:val="0000FF"/>
          <w:sz w:val="22"/>
          <w:szCs w:val="22"/>
        </w:rPr>
        <w:t xml:space="preserve"> and state) </w:t>
      </w:r>
      <w:r w:rsidRPr="0052405E">
        <w:rPr>
          <w:rStyle w:val="Emphasis"/>
          <w:i w:val="0"/>
          <w:color w:val="000000" w:themeColor="text1"/>
          <w:sz w:val="22"/>
          <w:szCs w:val="22"/>
        </w:rPr>
        <w:t xml:space="preserve">A detailed risk allocation schedule is attached as </w:t>
      </w:r>
      <w:hyperlink w:anchor="_Annex_4:_full" w:history="1">
        <w:r w:rsidRPr="0052405E">
          <w:rPr>
            <w:rStyle w:val="Hyperlink"/>
            <w:szCs w:val="22"/>
          </w:rPr>
          <w:t xml:space="preserve">Annex 4. </w:t>
        </w:r>
      </w:hyperlink>
      <w:r w:rsidRPr="0052405E">
        <w:rPr>
          <w:rStyle w:val="Emphasis"/>
          <w:i w:val="0"/>
          <w:color w:val="000000" w:themeColor="text1"/>
          <w:sz w:val="22"/>
          <w:szCs w:val="22"/>
        </w:rPr>
        <w:t xml:space="preserve"> </w:t>
      </w:r>
    </w:p>
    <w:p w14:paraId="6859FF9F" w14:textId="35745BE7" w:rsidR="00883FF1" w:rsidRPr="0052405E" w:rsidRDefault="00883FF1" w:rsidP="003D5AF3">
      <w:pPr>
        <w:spacing w:line="260" w:lineRule="atLeast"/>
        <w:rPr>
          <w:rStyle w:val="Emphasis"/>
          <w:iCs w:val="0"/>
          <w:color w:val="000000" w:themeColor="text1"/>
          <w:sz w:val="22"/>
          <w:szCs w:val="22"/>
        </w:rPr>
      </w:pPr>
      <w:r w:rsidRPr="0052405E">
        <w:rPr>
          <w:rStyle w:val="Emphasis"/>
          <w:i w:val="0"/>
          <w:color w:val="000000" w:themeColor="text1"/>
          <w:sz w:val="22"/>
          <w:szCs w:val="22"/>
        </w:rPr>
        <w:t>Identify the risks associated with risk transfer and the potential impact on supplier incentives and financing costs.</w:t>
      </w:r>
    </w:p>
    <w:p w14:paraId="6DED4908" w14:textId="6D1B31BC" w:rsidR="00741019" w:rsidRPr="00E204ED" w:rsidRDefault="00741019" w:rsidP="00996D0A">
      <w:pPr>
        <w:pStyle w:val="Heading3"/>
        <w:rPr>
          <w:rStyle w:val="Emphasis"/>
          <w:i w:val="0"/>
          <w:iCs w:val="0"/>
          <w:color w:val="002469"/>
          <w:sz w:val="24"/>
        </w:rPr>
      </w:pPr>
      <w:r w:rsidRPr="00E204ED">
        <w:rPr>
          <w:rStyle w:val="Emphasis"/>
          <w:i w:val="0"/>
          <w:iCs w:val="0"/>
          <w:color w:val="002469"/>
          <w:sz w:val="24"/>
        </w:rPr>
        <w:t xml:space="preserve">Negotiated payment </w:t>
      </w:r>
      <w:r w:rsidR="00CF7014" w:rsidRPr="00E204ED">
        <w:rPr>
          <w:rStyle w:val="Emphasis"/>
          <w:i w:val="0"/>
          <w:iCs w:val="0"/>
          <w:color w:val="002469"/>
          <w:sz w:val="24"/>
        </w:rPr>
        <w:t>arrangements</w:t>
      </w:r>
    </w:p>
    <w:p w14:paraId="4317A5FA" w14:textId="77777777" w:rsidR="00BC5ACC" w:rsidRPr="00425814" w:rsidRDefault="00BC5ACC" w:rsidP="00E204ED">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spacing w:after="60" w:line="260" w:lineRule="atLeast"/>
        <w:rPr>
          <w:i/>
          <w:color w:val="1F4E79"/>
          <w:sz w:val="20"/>
        </w:rPr>
      </w:pPr>
      <w:r w:rsidRPr="00425814">
        <w:rPr>
          <w:i/>
          <w:color w:val="1F4E79"/>
          <w:sz w:val="20"/>
        </w:rPr>
        <w:t>If it is properly constructed, the payment mechanism will incentivise the supplier to deliver services in accordance with the requirements of the procuring organisation.  In particular consider:</w:t>
      </w:r>
    </w:p>
    <w:p w14:paraId="7D473B36" w14:textId="77777777" w:rsidR="00BC5ACC" w:rsidRPr="00E204ED" w:rsidRDefault="00BC5ACC" w:rsidP="00E204ED">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rPr>
          <w:i/>
        </w:rPr>
      </w:pPr>
      <w:r w:rsidRPr="00E204ED">
        <w:rPr>
          <w:i/>
        </w:rPr>
        <w:t>incentives for suppliers to provide value and innovate</w:t>
      </w:r>
    </w:p>
    <w:p w14:paraId="30B78D31" w14:textId="77777777" w:rsidR="00BC5ACC" w:rsidRPr="00E204ED" w:rsidRDefault="00BC5ACC" w:rsidP="00E204ED">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rPr>
          <w:i/>
        </w:rPr>
      </w:pPr>
      <w:r w:rsidRPr="00E204ED">
        <w:rPr>
          <w:i/>
        </w:rPr>
        <w:t>the balance between risk and return</w:t>
      </w:r>
    </w:p>
    <w:p w14:paraId="0CB04CF9" w14:textId="77777777" w:rsidR="00BC5ACC" w:rsidRPr="00E204ED" w:rsidRDefault="00BC5ACC" w:rsidP="00E204ED">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rPr>
          <w:i/>
        </w:rPr>
      </w:pPr>
      <w:proofErr w:type="gramStart"/>
      <w:r w:rsidRPr="00E204ED">
        <w:rPr>
          <w:i/>
        </w:rPr>
        <w:t>the</w:t>
      </w:r>
      <w:proofErr w:type="gramEnd"/>
      <w:r w:rsidRPr="00E204ED">
        <w:rPr>
          <w:i/>
        </w:rPr>
        <w:t xml:space="preserve"> relationship between delivery of service outputs and performance of supplier (mechanisms and milestones).</w:t>
      </w:r>
    </w:p>
    <w:p w14:paraId="62859A76" w14:textId="77777777" w:rsidR="00BC5ACC" w:rsidRPr="00E204ED" w:rsidRDefault="00BC5ACC" w:rsidP="00E204ED">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rPr>
          <w:i/>
        </w:rPr>
      </w:pPr>
      <w:proofErr w:type="gramStart"/>
      <w:r w:rsidRPr="00E204ED">
        <w:rPr>
          <w:i/>
        </w:rPr>
        <w:t>the</w:t>
      </w:r>
      <w:proofErr w:type="gramEnd"/>
      <w:r w:rsidRPr="00E204ED">
        <w:rPr>
          <w:i/>
        </w:rPr>
        <w:t xml:space="preserve"> process to manage change.</w:t>
      </w:r>
    </w:p>
    <w:p w14:paraId="3A838EF0" w14:textId="6A42406C" w:rsidR="00BC5ACC" w:rsidRPr="00425814" w:rsidRDefault="00BC5ACC" w:rsidP="00E204ED">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spacing w:line="260" w:lineRule="atLeast"/>
        <w:rPr>
          <w:color w:val="1F4E79"/>
          <w:sz w:val="20"/>
        </w:rPr>
      </w:pPr>
      <w:r w:rsidRPr="00425814">
        <w:rPr>
          <w:i/>
          <w:color w:val="1F4E79"/>
          <w:sz w:val="20"/>
        </w:rPr>
        <w:t xml:space="preserve">The payment mechanism is the formula against which payment for the contracted services to be made. </w:t>
      </w:r>
      <w:r w:rsidR="001B42CB" w:rsidRPr="00425814">
        <w:rPr>
          <w:i/>
          <w:color w:val="1F4E79"/>
          <w:sz w:val="20"/>
        </w:rPr>
        <w:t xml:space="preserve"> </w:t>
      </w:r>
      <w:r w:rsidRPr="00425814">
        <w:rPr>
          <w:i/>
          <w:color w:val="1F4E79"/>
          <w:sz w:val="20"/>
        </w:rPr>
        <w:t xml:space="preserve">The underlying aim of the payment mechanism and pricing structure is to reflect the optimum balance between risk and return in the contract. </w:t>
      </w:r>
      <w:r w:rsidR="001B42CB" w:rsidRPr="00425814">
        <w:rPr>
          <w:i/>
          <w:color w:val="1F4E79"/>
          <w:sz w:val="20"/>
        </w:rPr>
        <w:t xml:space="preserve"> </w:t>
      </w:r>
      <w:r w:rsidRPr="00425814">
        <w:rPr>
          <w:i/>
          <w:color w:val="1F4E79"/>
          <w:sz w:val="20"/>
        </w:rPr>
        <w:t>The approach should be to relate the payment to the delivery of service outputs and the performance of the supplier.</w:t>
      </w:r>
      <w:r w:rsidRPr="00425814">
        <w:rPr>
          <w:color w:val="1F4E79"/>
          <w:sz w:val="20"/>
        </w:rPr>
        <w:t xml:space="preserve"> </w:t>
      </w:r>
    </w:p>
    <w:p w14:paraId="640F6082" w14:textId="77777777" w:rsidR="00741019" w:rsidRPr="004F4C17" w:rsidRDefault="00741019" w:rsidP="003D5AF3">
      <w:pPr>
        <w:spacing w:line="260" w:lineRule="atLeast"/>
        <w:rPr>
          <w:rStyle w:val="Emphasis"/>
          <w:i w:val="0"/>
        </w:rPr>
      </w:pPr>
      <w:r w:rsidRPr="004F4C17">
        <w:rPr>
          <w:rStyle w:val="Emphasis"/>
          <w:i w:val="0"/>
        </w:rPr>
        <w:t xml:space="preserve">The agreed payment approach is </w:t>
      </w:r>
      <w:r w:rsidRPr="00884C48">
        <w:rPr>
          <w:rStyle w:val="Emphasis"/>
          <w:i w:val="0"/>
          <w:highlight w:val="yellow"/>
        </w:rPr>
        <w:t>to….</w:t>
      </w:r>
    </w:p>
    <w:p w14:paraId="3CF63477" w14:textId="038B57E5" w:rsidR="007A19E3" w:rsidRDefault="007A19E3" w:rsidP="006E4FDB">
      <w:pPr>
        <w:pStyle w:val="Heading1"/>
      </w:pPr>
      <w:bookmarkStart w:id="81" w:name="_Procurement_Strategy"/>
      <w:bookmarkStart w:id="82" w:name="_Financial_Case_&lt;link"/>
      <w:bookmarkStart w:id="83" w:name="_Financial_Case_–"/>
      <w:bookmarkStart w:id="84" w:name="_Toc50548999"/>
      <w:bookmarkStart w:id="85" w:name="_Toc381007695"/>
      <w:bookmarkEnd w:id="81"/>
      <w:bookmarkEnd w:id="82"/>
      <w:bookmarkEnd w:id="83"/>
      <w:r w:rsidRPr="00D17BFC">
        <w:lastRenderedPageBreak/>
        <w:t xml:space="preserve">Financial Case </w:t>
      </w:r>
      <w:r w:rsidR="006929F1">
        <w:t>–</w:t>
      </w:r>
      <w:r w:rsidR="0036357D">
        <w:t xml:space="preserve"> </w:t>
      </w:r>
      <w:r w:rsidR="00EF0FCF">
        <w:t>funding</w:t>
      </w:r>
      <w:r w:rsidR="0036357D">
        <w:t xml:space="preserve"> the project</w:t>
      </w:r>
      <w:bookmarkEnd w:id="84"/>
      <w:r w:rsidR="006929F1">
        <w:t xml:space="preserve"> </w:t>
      </w:r>
    </w:p>
    <w:p w14:paraId="7D15DDA4" w14:textId="77777777" w:rsidR="00996D0A" w:rsidRPr="00584A3E" w:rsidRDefault="00996D0A" w:rsidP="00996D0A">
      <w:pPr>
        <w:spacing w:line="260" w:lineRule="atLeast"/>
        <w:rPr>
          <w:rStyle w:val="Hyperlink"/>
          <w:sz w:val="24"/>
        </w:rPr>
      </w:pPr>
      <w:r>
        <w:rPr>
          <w:sz w:val="24"/>
        </w:rPr>
        <w:fldChar w:fldCharType="begin"/>
      </w:r>
      <w:r>
        <w:rPr>
          <w:sz w:val="24"/>
        </w:rPr>
        <w:instrText xml:space="preserve"> HYPERLINK  \l "_Financial_Case_–_1" </w:instrText>
      </w:r>
      <w:r>
        <w:rPr>
          <w:sz w:val="24"/>
        </w:rPr>
        <w:fldChar w:fldCharType="separate"/>
      </w:r>
      <w:r w:rsidRPr="00584A3E">
        <w:rPr>
          <w:rStyle w:val="Hyperlink"/>
          <w:sz w:val="24"/>
        </w:rPr>
        <w:t>&lt;</w:t>
      </w:r>
      <w:proofErr w:type="gramStart"/>
      <w:r w:rsidRPr="00584A3E">
        <w:rPr>
          <w:rStyle w:val="Hyperlink"/>
          <w:sz w:val="24"/>
        </w:rPr>
        <w:t>go</w:t>
      </w:r>
      <w:proofErr w:type="gramEnd"/>
      <w:r w:rsidRPr="00584A3E">
        <w:rPr>
          <w:rStyle w:val="Hyperlink"/>
          <w:sz w:val="24"/>
        </w:rPr>
        <w:t xml:space="preserve"> to guidance&gt;</w:t>
      </w:r>
    </w:p>
    <w:p w14:paraId="0672BCB5" w14:textId="13DDB6B8" w:rsidR="009A19B3" w:rsidRDefault="00996D0A" w:rsidP="00996D0A">
      <w:pPr>
        <w:pStyle w:val="Heading2"/>
      </w:pPr>
      <w:r>
        <w:rPr>
          <w:sz w:val="24"/>
        </w:rPr>
        <w:fldChar w:fldCharType="end"/>
      </w:r>
      <w:bookmarkEnd w:id="85"/>
      <w:r w:rsidR="009A19B3" w:rsidRPr="00D17BFC">
        <w:t xml:space="preserve">Financial </w:t>
      </w:r>
      <w:r w:rsidR="009A19B3">
        <w:t>Analysis</w:t>
      </w:r>
      <w:r w:rsidR="009A19B3" w:rsidRPr="00D17BFC">
        <w:t xml:space="preserve"> </w:t>
      </w:r>
      <w:r w:rsidR="009A19B3">
        <w:t>and Implications of the deal</w:t>
      </w:r>
    </w:p>
    <w:p w14:paraId="7ABE21EC" w14:textId="77777777" w:rsidR="009A19B3" w:rsidRDefault="009A19B3" w:rsidP="009A19B3">
      <w:pPr>
        <w:spacing w:line="260" w:lineRule="atLeast"/>
        <w:rPr>
          <w:u w:val="single"/>
        </w:rPr>
      </w:pPr>
      <w:r w:rsidRPr="00CC1378">
        <w:t xml:space="preserve">The layout should </w:t>
      </w:r>
      <w:r>
        <w:t xml:space="preserve">update the information provided </w:t>
      </w:r>
      <w:r>
        <w:rPr>
          <w:u w:val="single"/>
        </w:rPr>
        <w:t>in the previous approved business case (SSBC or DBC):</w:t>
      </w:r>
    </w:p>
    <w:p w14:paraId="72CD7518" w14:textId="28AA966B" w:rsidR="00D6729F" w:rsidRPr="00425814" w:rsidRDefault="00D6729F" w:rsidP="00425814">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i/>
          <w:iCs/>
          <w:color w:val="1F4E79"/>
          <w:sz w:val="20"/>
        </w:rPr>
      </w:pPr>
      <w:r w:rsidRPr="00425814">
        <w:rPr>
          <w:i/>
          <w:iCs/>
          <w:color w:val="1F4E79"/>
          <w:sz w:val="20"/>
        </w:rPr>
        <w:t>This section summarises</w:t>
      </w:r>
      <w:r w:rsidR="008A5E26" w:rsidRPr="00425814">
        <w:rPr>
          <w:i/>
          <w:iCs/>
          <w:color w:val="1F4E79"/>
          <w:sz w:val="20"/>
        </w:rPr>
        <w:t xml:space="preserve"> the</w:t>
      </w:r>
      <w:r w:rsidRPr="00425814">
        <w:rPr>
          <w:i/>
          <w:iCs/>
          <w:color w:val="1F4E79"/>
          <w:sz w:val="20"/>
        </w:rPr>
        <w:t xml:space="preserve"> long-term affordability analysis </w:t>
      </w:r>
      <w:r w:rsidR="008A5E26" w:rsidRPr="00425814">
        <w:rPr>
          <w:i/>
          <w:iCs/>
          <w:color w:val="1F4E79"/>
          <w:sz w:val="20"/>
        </w:rPr>
        <w:t>including</w:t>
      </w:r>
      <w:r w:rsidRPr="00425814">
        <w:rPr>
          <w:i/>
          <w:iCs/>
          <w:color w:val="1F4E79"/>
          <w:sz w:val="20"/>
        </w:rPr>
        <w:t xml:space="preserve"> life-cycle costs, funding </w:t>
      </w:r>
      <w:r w:rsidR="008A5E26" w:rsidRPr="00425814">
        <w:rPr>
          <w:i/>
          <w:iCs/>
          <w:color w:val="1F4E79"/>
          <w:sz w:val="20"/>
        </w:rPr>
        <w:t xml:space="preserve">requirements </w:t>
      </w:r>
      <w:r w:rsidRPr="00425814">
        <w:rPr>
          <w:i/>
          <w:iCs/>
          <w:color w:val="1F4E79"/>
          <w:sz w:val="20"/>
        </w:rPr>
        <w:t xml:space="preserve">and </w:t>
      </w:r>
      <w:r w:rsidR="008A5E26" w:rsidRPr="00425814">
        <w:rPr>
          <w:i/>
          <w:iCs/>
          <w:color w:val="1F4E79"/>
          <w:sz w:val="20"/>
        </w:rPr>
        <w:t xml:space="preserve">proposed </w:t>
      </w:r>
      <w:r w:rsidRPr="00425814">
        <w:rPr>
          <w:i/>
          <w:iCs/>
          <w:color w:val="1F4E79"/>
          <w:sz w:val="20"/>
        </w:rPr>
        <w:t>financing of the project</w:t>
      </w:r>
      <w:r w:rsidR="008C0150" w:rsidRPr="00425814">
        <w:rPr>
          <w:i/>
          <w:iCs/>
          <w:color w:val="1F4E79"/>
          <w:sz w:val="20"/>
        </w:rPr>
        <w:t>/tranche</w:t>
      </w:r>
      <w:r w:rsidRPr="00425814">
        <w:rPr>
          <w:i/>
          <w:iCs/>
          <w:color w:val="1F4E79"/>
          <w:sz w:val="20"/>
        </w:rPr>
        <w:t xml:space="preserve">. </w:t>
      </w:r>
      <w:r w:rsidR="007C273F" w:rsidRPr="00425814">
        <w:rPr>
          <w:i/>
          <w:iCs/>
          <w:color w:val="1F4E79"/>
          <w:sz w:val="20"/>
        </w:rPr>
        <w:t xml:space="preserve"> </w:t>
      </w:r>
      <w:r w:rsidRPr="00425814">
        <w:rPr>
          <w:i/>
          <w:iCs/>
          <w:color w:val="1F4E79"/>
          <w:sz w:val="20"/>
        </w:rPr>
        <w:t xml:space="preserve">The financial analysis must demonstrate that the project is affordable and cost-effective over its life, taking account of the public funding required and allowing contingencies for unexpected occurrences.  </w:t>
      </w:r>
    </w:p>
    <w:p w14:paraId="2F1CDF8F" w14:textId="6BFC6F06" w:rsidR="009A19B3" w:rsidRPr="00425814" w:rsidRDefault="009A19B3" w:rsidP="00425814">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ind w:left="425" w:hanging="425"/>
        <w:rPr>
          <w:i/>
          <w:iCs/>
        </w:rPr>
      </w:pPr>
      <w:r w:rsidRPr="00425814">
        <w:rPr>
          <w:i/>
          <w:iCs/>
        </w:rPr>
        <w:t>how the charges for the preferred supplier’s offer have been modelled, including the resulting benefits</w:t>
      </w:r>
    </w:p>
    <w:p w14:paraId="51AA59C3" w14:textId="2ACCCD98" w:rsidR="00092A42" w:rsidRPr="00425814" w:rsidRDefault="00D6729F" w:rsidP="00425814">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ind w:left="425" w:hanging="425"/>
        <w:rPr>
          <w:i/>
          <w:iCs/>
        </w:rPr>
      </w:pPr>
      <w:r w:rsidRPr="00425814">
        <w:rPr>
          <w:i/>
          <w:iCs/>
        </w:rPr>
        <w:t xml:space="preserve">what amounts are funded from public sources and what amounts are sought by way of other funding </w:t>
      </w:r>
      <w:r w:rsidR="006C700E" w:rsidRPr="00425814">
        <w:rPr>
          <w:i/>
          <w:iCs/>
        </w:rPr>
        <w:t>sources</w:t>
      </w:r>
      <w:r w:rsidR="009A19B3" w:rsidRPr="00425814">
        <w:rPr>
          <w:i/>
          <w:iCs/>
        </w:rPr>
        <w:t>, including any net effect on user charges (if any)</w:t>
      </w:r>
    </w:p>
    <w:p w14:paraId="3E35880A" w14:textId="7EB9FD3F" w:rsidR="009A19B3" w:rsidRPr="00425814" w:rsidRDefault="009A19B3" w:rsidP="00425814">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ind w:left="425" w:hanging="425"/>
        <w:rPr>
          <w:i/>
          <w:iCs/>
        </w:rPr>
      </w:pPr>
      <w:r w:rsidRPr="00425814">
        <w:rPr>
          <w:i/>
          <w:iCs/>
        </w:rPr>
        <w:t>Impacts on the financial statements (</w:t>
      </w:r>
      <w:r w:rsidR="00CC1099" w:rsidRPr="00425814">
        <w:rPr>
          <w:i/>
          <w:iCs/>
        </w:rPr>
        <w:t>capital and revenue implications</w:t>
      </w:r>
      <w:r w:rsidRPr="00425814">
        <w:rPr>
          <w:i/>
          <w:iCs/>
        </w:rPr>
        <w:t>)</w:t>
      </w:r>
      <w:r w:rsidR="00CC1099" w:rsidRPr="00425814">
        <w:rPr>
          <w:i/>
          <w:iCs/>
        </w:rPr>
        <w:t xml:space="preserve"> of the final deal, </w:t>
      </w:r>
      <w:r w:rsidRPr="00425814">
        <w:rPr>
          <w:i/>
          <w:iCs/>
        </w:rPr>
        <w:t xml:space="preserve">confirmed by external auditor if needed. </w:t>
      </w:r>
      <w:proofErr w:type="gramStart"/>
      <w:r w:rsidR="007C273F" w:rsidRPr="00425814">
        <w:rPr>
          <w:i/>
          <w:iCs/>
        </w:rPr>
        <w:t>including</w:t>
      </w:r>
      <w:proofErr w:type="gramEnd"/>
      <w:r w:rsidR="006C700E" w:rsidRPr="00425814">
        <w:rPr>
          <w:i/>
          <w:iCs/>
        </w:rPr>
        <w:t xml:space="preserve"> </w:t>
      </w:r>
      <w:r w:rsidR="00CC1099" w:rsidRPr="00425814">
        <w:rPr>
          <w:i/>
          <w:iCs/>
        </w:rPr>
        <w:t>any</w:t>
      </w:r>
      <w:r w:rsidR="006C700E" w:rsidRPr="00425814">
        <w:rPr>
          <w:i/>
          <w:iCs/>
        </w:rPr>
        <w:t xml:space="preserve"> changes to</w:t>
      </w:r>
      <w:r w:rsidR="00CC1099" w:rsidRPr="00425814">
        <w:rPr>
          <w:i/>
          <w:iCs/>
        </w:rPr>
        <w:t xml:space="preserve"> </w:t>
      </w:r>
      <w:r w:rsidR="006C700E" w:rsidRPr="00425814">
        <w:rPr>
          <w:i/>
          <w:iCs/>
        </w:rPr>
        <w:t xml:space="preserve">baseline </w:t>
      </w:r>
      <w:r w:rsidR="00D6729F" w:rsidRPr="00425814">
        <w:rPr>
          <w:i/>
          <w:iCs/>
        </w:rPr>
        <w:t xml:space="preserve">operating </w:t>
      </w:r>
      <w:r w:rsidR="00CC1099" w:rsidRPr="00425814">
        <w:rPr>
          <w:i/>
          <w:iCs/>
        </w:rPr>
        <w:t xml:space="preserve">costs </w:t>
      </w:r>
      <w:r w:rsidR="00D6729F" w:rsidRPr="00425814">
        <w:rPr>
          <w:i/>
          <w:iCs/>
        </w:rPr>
        <w:t>for</w:t>
      </w:r>
      <w:r w:rsidR="00CC1099" w:rsidRPr="00425814">
        <w:rPr>
          <w:i/>
          <w:iCs/>
        </w:rPr>
        <w:t xml:space="preserve"> the organisation</w:t>
      </w:r>
      <w:r w:rsidRPr="00425814">
        <w:rPr>
          <w:i/>
          <w:iCs/>
        </w:rPr>
        <w:t>. Where applicable include how any debt sustainability and project financing will be managed transparently.</w:t>
      </w:r>
      <w:r w:rsidRPr="00993F59">
        <w:rPr>
          <w:i/>
          <w:iCs/>
          <w:vertAlign w:val="superscript"/>
        </w:rPr>
        <w:footnoteReference w:id="6"/>
      </w:r>
    </w:p>
    <w:p w14:paraId="702B05AB" w14:textId="35AE11A2" w:rsidR="00E6310F" w:rsidRPr="00425814" w:rsidRDefault="00E6310F" w:rsidP="00425814">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ind w:left="425" w:hanging="425"/>
        <w:rPr>
          <w:i/>
          <w:iCs/>
        </w:rPr>
      </w:pPr>
      <w:r w:rsidRPr="00425814">
        <w:rPr>
          <w:i/>
          <w:iCs/>
        </w:rPr>
        <w:t xml:space="preserve">how any contingency arrangements are </w:t>
      </w:r>
      <w:r w:rsidR="008B52AA" w:rsidRPr="00425814">
        <w:rPr>
          <w:i/>
          <w:iCs/>
        </w:rPr>
        <w:t>enough</w:t>
      </w:r>
      <w:r w:rsidRPr="00425814">
        <w:rPr>
          <w:i/>
          <w:iCs/>
        </w:rPr>
        <w:t xml:space="preserve"> to effectively manage </w:t>
      </w:r>
      <w:r w:rsidR="009A19B3" w:rsidRPr="00425814">
        <w:rPr>
          <w:i/>
          <w:iCs/>
        </w:rPr>
        <w:t>uncertainty and</w:t>
      </w:r>
      <w:r w:rsidRPr="00425814">
        <w:rPr>
          <w:i/>
          <w:iCs/>
        </w:rPr>
        <w:t xml:space="preserve"> risk </w:t>
      </w:r>
    </w:p>
    <w:p w14:paraId="2D835E5D" w14:textId="5F17418F" w:rsidR="009A19B3" w:rsidRPr="00425814" w:rsidRDefault="009A19B3" w:rsidP="00425814">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ind w:left="425" w:hanging="425"/>
        <w:rPr>
          <w:i/>
          <w:iCs/>
        </w:rPr>
      </w:pPr>
      <w:proofErr w:type="gramStart"/>
      <w:r w:rsidRPr="00425814">
        <w:rPr>
          <w:i/>
          <w:iCs/>
        </w:rPr>
        <w:t>the</w:t>
      </w:r>
      <w:proofErr w:type="gramEnd"/>
      <w:r w:rsidRPr="00425814">
        <w:rPr>
          <w:i/>
          <w:iCs/>
        </w:rPr>
        <w:t xml:space="preserve"> overall affordability for the deal.</w:t>
      </w:r>
    </w:p>
    <w:p w14:paraId="441CC61B" w14:textId="750D37C7" w:rsidR="00CC1099" w:rsidRPr="00425814" w:rsidRDefault="00CC1099" w:rsidP="00425814">
      <w:pPr>
        <w:pStyle w:val="Boxbulle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themeFill="accent5" w:themeFillTint="33"/>
        <w:ind w:left="425" w:hanging="425"/>
        <w:rPr>
          <w:rStyle w:val="Emphasis"/>
        </w:rPr>
      </w:pPr>
      <w:proofErr w:type="gramStart"/>
      <w:r w:rsidRPr="00425814">
        <w:rPr>
          <w:i/>
          <w:iCs/>
        </w:rPr>
        <w:t>written</w:t>
      </w:r>
      <w:proofErr w:type="gramEnd"/>
      <w:r w:rsidRPr="00425814">
        <w:rPr>
          <w:i/>
          <w:iCs/>
        </w:rPr>
        <w:t xml:space="preserve"> confirmation </w:t>
      </w:r>
      <w:r w:rsidR="00591A92" w:rsidRPr="00425814">
        <w:rPr>
          <w:i/>
          <w:iCs/>
        </w:rPr>
        <w:t xml:space="preserve">of support for the proposed funding arrangements from the </w:t>
      </w:r>
      <w:r w:rsidR="001B42CB" w:rsidRPr="00425814">
        <w:rPr>
          <w:i/>
          <w:iCs/>
        </w:rPr>
        <w:t xml:space="preserve">initiative </w:t>
      </w:r>
      <w:r w:rsidR="00301976" w:rsidRPr="00425814">
        <w:rPr>
          <w:i/>
          <w:iCs/>
        </w:rPr>
        <w:t>Commissioner(s)</w:t>
      </w:r>
      <w:r w:rsidR="00C155A3" w:rsidRPr="00425814">
        <w:t xml:space="preserve"> </w:t>
      </w:r>
      <w:r w:rsidR="00591A92" w:rsidRPr="00425814">
        <w:rPr>
          <w:rStyle w:val="Emphasis"/>
        </w:rPr>
        <w:t>(</w:t>
      </w:r>
      <w:hyperlink w:anchor="_Annex_1:_Commissioner’s" w:history="1">
        <w:r w:rsidR="00591A92" w:rsidRPr="00425814">
          <w:rPr>
            <w:rStyle w:val="Hyperlink"/>
          </w:rPr>
          <w:t>Annex 1</w:t>
        </w:r>
      </w:hyperlink>
      <w:r w:rsidR="00591A92" w:rsidRPr="00425814">
        <w:rPr>
          <w:rStyle w:val="Emphasis"/>
        </w:rPr>
        <w:t>)</w:t>
      </w:r>
      <w:r w:rsidR="00B40EAB" w:rsidRPr="00425814">
        <w:rPr>
          <w:rStyle w:val="Emphasis"/>
        </w:rPr>
        <w:t>.</w:t>
      </w:r>
      <w:r w:rsidR="00D35F23" w:rsidRPr="00425814">
        <w:rPr>
          <w:rStyle w:val="Emphasis"/>
          <w:szCs w:val="22"/>
        </w:rPr>
        <w:t xml:space="preserve"> </w:t>
      </w:r>
      <w:hyperlink w:anchor="_The_Chief_Executive’s" w:history="1">
        <w:r w:rsidR="00D35F23" w:rsidRPr="00425814">
          <w:rPr>
            <w:rStyle w:val="Hyperlink"/>
            <w:szCs w:val="22"/>
          </w:rPr>
          <w:t>&lt;go to guidance&gt;</w:t>
        </w:r>
      </w:hyperlink>
    </w:p>
    <w:p w14:paraId="644601E6" w14:textId="0C7F1CCB" w:rsidR="005E212D" w:rsidRPr="00996D0A" w:rsidRDefault="00D11064" w:rsidP="00996D0A">
      <w:pPr>
        <w:pStyle w:val="Heading3"/>
        <w:rPr>
          <w:rStyle w:val="Emphasis"/>
          <w:i w:val="0"/>
          <w:color w:val="002469"/>
          <w:sz w:val="24"/>
          <w:szCs w:val="24"/>
        </w:rPr>
      </w:pPr>
      <w:r w:rsidRPr="00996D0A">
        <w:rPr>
          <w:rStyle w:val="Emphasis"/>
          <w:i w:val="0"/>
          <w:color w:val="002469"/>
          <w:sz w:val="24"/>
          <w:szCs w:val="24"/>
        </w:rPr>
        <w:t xml:space="preserve">Financial </w:t>
      </w:r>
      <w:r w:rsidR="00BF6322" w:rsidRPr="00996D0A">
        <w:rPr>
          <w:rStyle w:val="Emphasis"/>
          <w:i w:val="0"/>
          <w:iCs w:val="0"/>
          <w:color w:val="002469"/>
          <w:sz w:val="24"/>
          <w:szCs w:val="24"/>
        </w:rPr>
        <w:t>m</w:t>
      </w:r>
      <w:r w:rsidRPr="00996D0A">
        <w:rPr>
          <w:rStyle w:val="Emphasis"/>
          <w:i w:val="0"/>
          <w:iCs w:val="0"/>
          <w:color w:val="002469"/>
          <w:sz w:val="24"/>
          <w:szCs w:val="24"/>
        </w:rPr>
        <w:t>odelling</w:t>
      </w:r>
    </w:p>
    <w:p w14:paraId="6CC3BDC0" w14:textId="77777777" w:rsidR="00590390" w:rsidRPr="00425814" w:rsidRDefault="00590390" w:rsidP="00122AD6">
      <w:pPr>
        <w:spacing w:line="240" w:lineRule="atLeast"/>
        <w:rPr>
          <w:rStyle w:val="Emphasis"/>
          <w:i w:val="0"/>
          <w:sz w:val="22"/>
          <w:szCs w:val="22"/>
        </w:rPr>
      </w:pPr>
      <w:r w:rsidRPr="00425814">
        <w:rPr>
          <w:rStyle w:val="Emphasis"/>
          <w:i w:val="0"/>
          <w:sz w:val="22"/>
          <w:szCs w:val="22"/>
        </w:rPr>
        <w:t xml:space="preserve">The financial analysis model and the associated methodology </w:t>
      </w:r>
      <w:r w:rsidR="007C273F" w:rsidRPr="00425814">
        <w:rPr>
          <w:rStyle w:val="Emphasis"/>
          <w:i w:val="0"/>
          <w:sz w:val="22"/>
          <w:szCs w:val="22"/>
        </w:rPr>
        <w:t>used are</w:t>
      </w:r>
      <w:r w:rsidRPr="00425814">
        <w:rPr>
          <w:rStyle w:val="Emphasis"/>
          <w:i w:val="0"/>
          <w:sz w:val="22"/>
          <w:szCs w:val="22"/>
        </w:rPr>
        <w:t xml:space="preserve"> </w:t>
      </w:r>
      <w:r w:rsidRPr="00425814">
        <w:rPr>
          <w:rStyle w:val="Emphasis"/>
          <w:i w:val="0"/>
          <w:sz w:val="22"/>
          <w:szCs w:val="22"/>
          <w:highlight w:val="yellow"/>
        </w:rPr>
        <w:t>……..</w:t>
      </w:r>
    </w:p>
    <w:p w14:paraId="31E1BB45" w14:textId="77777777" w:rsidR="001B42CB" w:rsidRPr="00425814" w:rsidRDefault="00590390" w:rsidP="00122AD6">
      <w:pPr>
        <w:spacing w:line="240" w:lineRule="atLeast"/>
        <w:rPr>
          <w:rStyle w:val="Emphasis"/>
          <w:i w:val="0"/>
          <w:sz w:val="22"/>
          <w:szCs w:val="22"/>
        </w:rPr>
      </w:pPr>
      <w:r w:rsidRPr="00425814">
        <w:rPr>
          <w:rStyle w:val="Emphasis"/>
          <w:i w:val="0"/>
          <w:sz w:val="22"/>
          <w:szCs w:val="22"/>
        </w:rPr>
        <w:t>The key assumptions in the financial model are</w:t>
      </w:r>
    </w:p>
    <w:p w14:paraId="79AA597A" w14:textId="16DD63A5" w:rsidR="001B42CB" w:rsidRPr="00425814" w:rsidRDefault="007C273F" w:rsidP="00A31592">
      <w:pPr>
        <w:pStyle w:val="ListParagraph"/>
        <w:numPr>
          <w:ilvl w:val="0"/>
          <w:numId w:val="36"/>
        </w:numPr>
        <w:spacing w:line="240" w:lineRule="atLeast"/>
        <w:ind w:left="425" w:hanging="425"/>
        <w:rPr>
          <w:rStyle w:val="Emphasis"/>
          <w:i w:val="0"/>
          <w:color w:val="000000"/>
          <w:sz w:val="22"/>
          <w:szCs w:val="22"/>
        </w:rPr>
      </w:pPr>
      <w:proofErr w:type="gramStart"/>
      <w:r w:rsidRPr="00425814">
        <w:rPr>
          <w:rStyle w:val="Emphasis"/>
          <w:color w:val="0000FF"/>
          <w:sz w:val="22"/>
          <w:szCs w:val="22"/>
        </w:rPr>
        <w:t>list</w:t>
      </w:r>
      <w:proofErr w:type="gramEnd"/>
      <w:r w:rsidR="00C155A3" w:rsidRPr="00425814">
        <w:rPr>
          <w:rStyle w:val="Emphasis"/>
          <w:color w:val="0000FF"/>
          <w:sz w:val="22"/>
          <w:szCs w:val="22"/>
        </w:rPr>
        <w:t xml:space="preserve"> the </w:t>
      </w:r>
      <w:r w:rsidR="00C155A3" w:rsidRPr="00425814">
        <w:rPr>
          <w:rStyle w:val="Emphasis"/>
          <w:color w:val="0000FF"/>
          <w:sz w:val="22"/>
          <w:szCs w:val="22"/>
          <w:u w:val="single"/>
        </w:rPr>
        <w:t>key</w:t>
      </w:r>
      <w:r w:rsidR="00C155A3" w:rsidRPr="00425814">
        <w:rPr>
          <w:rStyle w:val="Emphasis"/>
          <w:color w:val="0000FF"/>
          <w:sz w:val="22"/>
          <w:szCs w:val="22"/>
        </w:rPr>
        <w:t xml:space="preserve"> </w:t>
      </w:r>
      <w:r w:rsidR="003D5AF3" w:rsidRPr="00425814">
        <w:rPr>
          <w:rStyle w:val="Emphasis"/>
          <w:color w:val="0000FF"/>
          <w:sz w:val="22"/>
          <w:szCs w:val="22"/>
        </w:rPr>
        <w:t xml:space="preserve">(in terms of their potential to impact costs) 3-5 </w:t>
      </w:r>
      <w:r w:rsidR="00C155A3" w:rsidRPr="00425814">
        <w:rPr>
          <w:rStyle w:val="Emphasis"/>
          <w:color w:val="0000FF"/>
          <w:sz w:val="22"/>
          <w:szCs w:val="22"/>
        </w:rPr>
        <w:t>assumptions</w:t>
      </w:r>
      <w:r w:rsidR="003D5AF3" w:rsidRPr="00425814">
        <w:rPr>
          <w:rStyle w:val="Emphasis"/>
          <w:color w:val="0000FF"/>
          <w:sz w:val="22"/>
          <w:szCs w:val="22"/>
        </w:rPr>
        <w:t xml:space="preserve"> </w:t>
      </w:r>
      <w:r w:rsidR="00C155A3" w:rsidRPr="00425814">
        <w:rPr>
          <w:rStyle w:val="Emphasis"/>
          <w:color w:val="0000FF"/>
          <w:sz w:val="22"/>
          <w:szCs w:val="22"/>
        </w:rPr>
        <w:t xml:space="preserve">. </w:t>
      </w:r>
    </w:p>
    <w:p w14:paraId="19DC6477" w14:textId="77777777" w:rsidR="001B42CB" w:rsidRPr="00425814" w:rsidRDefault="001B42CB" w:rsidP="00A31592">
      <w:pPr>
        <w:pStyle w:val="ListParagraph"/>
        <w:numPr>
          <w:ilvl w:val="0"/>
          <w:numId w:val="36"/>
        </w:numPr>
        <w:spacing w:line="240" w:lineRule="atLeast"/>
        <w:ind w:left="425" w:hanging="425"/>
        <w:rPr>
          <w:rStyle w:val="Emphasis"/>
          <w:i w:val="0"/>
          <w:color w:val="000000"/>
          <w:sz w:val="22"/>
          <w:szCs w:val="22"/>
        </w:rPr>
      </w:pPr>
    </w:p>
    <w:p w14:paraId="100FA0BE" w14:textId="50999FD1" w:rsidR="009049DE" w:rsidRPr="00425814" w:rsidRDefault="00C155A3" w:rsidP="00122AD6">
      <w:pPr>
        <w:spacing w:line="240" w:lineRule="atLeast"/>
        <w:rPr>
          <w:rStyle w:val="Emphasis"/>
          <w:i w:val="0"/>
          <w:color w:val="000000"/>
          <w:sz w:val="22"/>
          <w:szCs w:val="22"/>
        </w:rPr>
      </w:pPr>
      <w:r w:rsidRPr="00425814">
        <w:rPr>
          <w:rStyle w:val="Emphasis"/>
          <w:i w:val="0"/>
          <w:color w:val="000000"/>
          <w:sz w:val="22"/>
          <w:szCs w:val="22"/>
        </w:rPr>
        <w:t xml:space="preserve">The full list of financial assumptions is included as </w:t>
      </w:r>
      <w:hyperlink w:anchor="_Annex_5:_Full" w:history="1">
        <w:r w:rsidR="002331DA" w:rsidRPr="00425814">
          <w:rPr>
            <w:rStyle w:val="Hyperlink"/>
            <w:szCs w:val="22"/>
          </w:rPr>
          <w:t>Annex 5</w:t>
        </w:r>
      </w:hyperlink>
      <w:r w:rsidRPr="00425814">
        <w:rPr>
          <w:rStyle w:val="Emphasis"/>
          <w:i w:val="0"/>
          <w:color w:val="000000"/>
          <w:sz w:val="22"/>
          <w:szCs w:val="22"/>
        </w:rPr>
        <w:t>.</w:t>
      </w:r>
      <w:r w:rsidR="001B42CB" w:rsidRPr="00425814">
        <w:rPr>
          <w:rStyle w:val="Emphasis"/>
          <w:i w:val="0"/>
          <w:color w:val="000000"/>
          <w:sz w:val="22"/>
          <w:szCs w:val="22"/>
        </w:rPr>
        <w:t xml:space="preserve"> </w:t>
      </w:r>
    </w:p>
    <w:p w14:paraId="17F6D6D7" w14:textId="6D01969F" w:rsidR="00D33746" w:rsidRPr="00425814" w:rsidRDefault="00D33746" w:rsidP="00122AD6">
      <w:pPr>
        <w:spacing w:line="240" w:lineRule="atLeast"/>
        <w:rPr>
          <w:rStyle w:val="Emphasis"/>
          <w:i w:val="0"/>
          <w:sz w:val="22"/>
          <w:szCs w:val="22"/>
        </w:rPr>
      </w:pPr>
      <w:r w:rsidRPr="00425814">
        <w:rPr>
          <w:rStyle w:val="Emphasis"/>
          <w:i w:val="0"/>
          <w:sz w:val="22"/>
          <w:szCs w:val="22"/>
        </w:rPr>
        <w:t>The increase to revenues including crown funding and user charges for services</w:t>
      </w:r>
      <w:r w:rsidR="009049DE" w:rsidRPr="00425814">
        <w:rPr>
          <w:rStyle w:val="Emphasis"/>
          <w:i w:val="0"/>
          <w:sz w:val="22"/>
          <w:szCs w:val="22"/>
        </w:rPr>
        <w:t xml:space="preserve"> </w:t>
      </w:r>
      <w:r w:rsidR="009049DE" w:rsidRPr="00425814">
        <w:rPr>
          <w:rStyle w:val="Emphasis"/>
          <w:iCs w:val="0"/>
          <w:color w:val="0000FF"/>
          <w:sz w:val="22"/>
          <w:szCs w:val="22"/>
        </w:rPr>
        <w:t>describe</w:t>
      </w:r>
      <w:r w:rsidRPr="00425814">
        <w:rPr>
          <w:rStyle w:val="Emphasis"/>
          <w:iCs w:val="0"/>
          <w:color w:val="0000FF"/>
          <w:sz w:val="22"/>
          <w:szCs w:val="22"/>
        </w:rPr>
        <w:t xml:space="preserve"> </w:t>
      </w:r>
      <w:r w:rsidRPr="00425814">
        <w:rPr>
          <w:rStyle w:val="Emphasis"/>
          <w:i w:val="0"/>
          <w:sz w:val="22"/>
          <w:szCs w:val="22"/>
          <w:highlight w:val="yellow"/>
        </w:rPr>
        <w:t>…..</w:t>
      </w:r>
      <w:r w:rsidRPr="00425814">
        <w:rPr>
          <w:rStyle w:val="Emphasis"/>
          <w:i w:val="0"/>
          <w:sz w:val="22"/>
          <w:szCs w:val="22"/>
        </w:rPr>
        <w:t xml:space="preserve"> </w:t>
      </w:r>
    </w:p>
    <w:p w14:paraId="47B94AF0" w14:textId="77777777" w:rsidR="009A19B3" w:rsidRDefault="009A19B3" w:rsidP="009A19B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The Investment summary table must show the total actual project spend to date, current project cost estimates and contingency estimates to complete the proposed scope, any additional whole-of-life operating cost estimates, and the total </w:t>
      </w:r>
      <w:proofErr w:type="spellStart"/>
      <w:r>
        <w:rPr>
          <w:rStyle w:val="Emphasis"/>
        </w:rPr>
        <w:t>WoLC</w:t>
      </w:r>
      <w:proofErr w:type="spellEnd"/>
      <w:r>
        <w:rPr>
          <w:rStyle w:val="Emphasis"/>
        </w:rPr>
        <w:t xml:space="preserve"> estimate from the previous approved business case (Detailed BC or Single-stage BC). </w:t>
      </w:r>
    </w:p>
    <w:p w14:paraId="2A7CC3AA" w14:textId="77777777" w:rsidR="009A19B3" w:rsidRDefault="009A19B3" w:rsidP="009A19B3">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If the scope of the current business case is less than the previous business case, show the previously approved costs for the equivalent scope. </w:t>
      </w:r>
      <w:r w:rsidRPr="007D21D4">
        <w:rPr>
          <w:rStyle w:val="Emphasis"/>
        </w:rPr>
        <w:t xml:space="preserve">If the </w:t>
      </w:r>
      <w:r>
        <w:rPr>
          <w:rStyle w:val="Emphasis"/>
        </w:rPr>
        <w:t>total investment</w:t>
      </w:r>
      <w:r w:rsidRPr="007D21D4">
        <w:rPr>
          <w:rStyle w:val="Emphasis"/>
        </w:rPr>
        <w:t xml:space="preserve"> </w:t>
      </w:r>
      <w:r>
        <w:rPr>
          <w:rStyle w:val="Emphasis"/>
        </w:rPr>
        <w:t>is higher than the previously approved BC and project budget, then</w:t>
      </w:r>
      <w:r w:rsidRPr="007D21D4">
        <w:rPr>
          <w:rStyle w:val="Emphasis"/>
        </w:rPr>
        <w:t xml:space="preserve"> it may be necessary to </w:t>
      </w:r>
      <w:r>
        <w:rPr>
          <w:rStyle w:val="Emphasis"/>
        </w:rPr>
        <w:t xml:space="preserve">review the pathway for approval – for significant investments discuss this with Treasury. </w:t>
      </w:r>
      <w:r w:rsidRPr="007D21D4">
        <w:rPr>
          <w:rStyle w:val="Emphasis"/>
        </w:rPr>
        <w:t>Th</w:t>
      </w:r>
      <w:r>
        <w:rPr>
          <w:rStyle w:val="Emphasis"/>
        </w:rPr>
        <w:t>e</w:t>
      </w:r>
      <w:r w:rsidRPr="007D21D4">
        <w:rPr>
          <w:rStyle w:val="Emphasis"/>
        </w:rPr>
        <w:t xml:space="preserve"> information</w:t>
      </w:r>
      <w:r>
        <w:rPr>
          <w:rStyle w:val="Emphasis"/>
        </w:rPr>
        <w:t xml:space="preserve"> in this table</w:t>
      </w:r>
      <w:r w:rsidRPr="007D21D4">
        <w:rPr>
          <w:rStyle w:val="Emphasis"/>
        </w:rPr>
        <w:t xml:space="preserve"> </w:t>
      </w:r>
      <w:r>
        <w:rPr>
          <w:rStyle w:val="Emphasis"/>
        </w:rPr>
        <w:t>may also assist with refining</w:t>
      </w:r>
      <w:r w:rsidRPr="007D21D4">
        <w:rPr>
          <w:rStyle w:val="Emphasis"/>
        </w:rPr>
        <w:t xml:space="preserve"> estimating methods for future projects by exposing optimism bias and </w:t>
      </w:r>
      <w:r>
        <w:rPr>
          <w:rStyle w:val="Emphasis"/>
        </w:rPr>
        <w:t>risk/contingency estimation methods</w:t>
      </w:r>
      <w:r w:rsidRPr="007D21D4">
        <w:rPr>
          <w:rStyle w:val="Emphasis"/>
        </w:rPr>
        <w:t>.</w:t>
      </w:r>
    </w:p>
    <w:p w14:paraId="0F6B0882" w14:textId="2276EE4C" w:rsidR="009A19B3" w:rsidRPr="00EC0F52" w:rsidRDefault="009A19B3" w:rsidP="00414BEF">
      <w:pPr>
        <w:keepNext/>
        <w:spacing w:after="60" w:line="240" w:lineRule="auto"/>
        <w:rPr>
          <w:sz w:val="20"/>
        </w:rPr>
      </w:pPr>
      <w:r w:rsidRPr="00EC0F52">
        <w:rPr>
          <w:b/>
          <w:sz w:val="20"/>
        </w:rPr>
        <w:lastRenderedPageBreak/>
        <w:t xml:space="preserve">Table </w:t>
      </w:r>
      <w:r w:rsidR="00414BEF">
        <w:rPr>
          <w:b/>
          <w:sz w:val="20"/>
          <w:shd w:val="clear" w:color="auto" w:fill="FFFF00"/>
        </w:rPr>
        <w:t>x</w:t>
      </w:r>
      <w:r w:rsidRPr="00EC0F52">
        <w:rPr>
          <w:b/>
          <w:sz w:val="20"/>
        </w:rPr>
        <w:t>:</w:t>
      </w:r>
      <w:r w:rsidRPr="00EC0F52">
        <w:rPr>
          <w:sz w:val="20"/>
        </w:rPr>
        <w:t xml:space="preserve"> </w:t>
      </w:r>
      <w:r>
        <w:rPr>
          <w:sz w:val="20"/>
        </w:rPr>
        <w:t>Investment summary</w:t>
      </w:r>
      <w:r w:rsidRPr="00EC0F52">
        <w:rPr>
          <w:sz w:val="20"/>
        </w:rPr>
        <w:t xml:space="preserve"> table </w:t>
      </w:r>
      <w:r>
        <w:rPr>
          <w:sz w:val="20"/>
        </w:rPr>
        <w:t>(</w:t>
      </w:r>
      <w:proofErr w:type="spellStart"/>
      <w:r>
        <w:rPr>
          <w:sz w:val="20"/>
        </w:rPr>
        <w:t>WoLC</w:t>
      </w:r>
      <w:proofErr w:type="spellEnd"/>
      <w:r>
        <w:rPr>
          <w:sz w:val="20"/>
        </w:rPr>
        <w:t>, $m)</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3657"/>
        <w:gridCol w:w="1559"/>
        <w:gridCol w:w="1380"/>
        <w:gridCol w:w="1380"/>
        <w:gridCol w:w="1380"/>
      </w:tblGrid>
      <w:tr w:rsidR="009A19B3" w:rsidRPr="003D08B1" w14:paraId="0B81FAEA" w14:textId="77777777" w:rsidTr="00317C8E">
        <w:trPr>
          <w:cantSplit/>
          <w:trHeight w:val="77"/>
        </w:trPr>
        <w:tc>
          <w:tcPr>
            <w:tcW w:w="3657" w:type="dxa"/>
            <w:shd w:val="clear" w:color="auto" w:fill="DEEAF5"/>
            <w:vAlign w:val="bottom"/>
          </w:tcPr>
          <w:p w14:paraId="18321C1A" w14:textId="77777777" w:rsidR="009A19B3" w:rsidRPr="009B3F33" w:rsidRDefault="009A19B3" w:rsidP="00343A00">
            <w:pPr>
              <w:pStyle w:val="TableHeading"/>
              <w:keepNext/>
              <w:spacing w:before="40" w:after="40"/>
              <w:rPr>
                <w:sz w:val="18"/>
              </w:rPr>
            </w:pPr>
            <w:r w:rsidRPr="009B3F33">
              <w:rPr>
                <w:sz w:val="18"/>
              </w:rPr>
              <w:t>C</w:t>
            </w:r>
            <w:r>
              <w:rPr>
                <w:sz w:val="18"/>
              </w:rPr>
              <w:t>urrent c</w:t>
            </w:r>
            <w:r w:rsidRPr="009B3F33">
              <w:rPr>
                <w:sz w:val="18"/>
              </w:rPr>
              <w:t>ost estimates</w:t>
            </w:r>
          </w:p>
        </w:tc>
        <w:tc>
          <w:tcPr>
            <w:tcW w:w="1559" w:type="dxa"/>
            <w:shd w:val="clear" w:color="auto" w:fill="DEEAF5"/>
            <w:vAlign w:val="center"/>
          </w:tcPr>
          <w:p w14:paraId="556CBFC0" w14:textId="77777777" w:rsidR="009A19B3" w:rsidRPr="003D08B1" w:rsidRDefault="009A19B3" w:rsidP="00343A00">
            <w:pPr>
              <w:pStyle w:val="TableHeading"/>
              <w:keepNext/>
              <w:spacing w:after="0"/>
              <w:jc w:val="right"/>
              <w:rPr>
                <w:sz w:val="18"/>
              </w:rPr>
            </w:pPr>
            <w:r>
              <w:rPr>
                <w:sz w:val="18"/>
              </w:rPr>
              <w:t>$m</w:t>
            </w:r>
          </w:p>
        </w:tc>
        <w:tc>
          <w:tcPr>
            <w:tcW w:w="1380" w:type="dxa"/>
            <w:shd w:val="clear" w:color="auto" w:fill="DEEAF5"/>
            <w:vAlign w:val="center"/>
          </w:tcPr>
          <w:p w14:paraId="48050C54" w14:textId="77777777" w:rsidR="009A19B3" w:rsidRPr="003D08B1" w:rsidRDefault="009A19B3" w:rsidP="00343A00">
            <w:pPr>
              <w:pStyle w:val="TableHeading"/>
              <w:keepNext/>
              <w:spacing w:after="0"/>
              <w:jc w:val="center"/>
              <w:rPr>
                <w:sz w:val="18"/>
              </w:rPr>
            </w:pPr>
            <w:r>
              <w:rPr>
                <w:sz w:val="18"/>
              </w:rPr>
              <w:t>Capex</w:t>
            </w:r>
          </w:p>
        </w:tc>
        <w:tc>
          <w:tcPr>
            <w:tcW w:w="1380" w:type="dxa"/>
            <w:shd w:val="clear" w:color="auto" w:fill="DEEAF5"/>
            <w:vAlign w:val="center"/>
          </w:tcPr>
          <w:p w14:paraId="04B6DBB8" w14:textId="77777777" w:rsidR="009A19B3" w:rsidRPr="003D08B1" w:rsidRDefault="009A19B3" w:rsidP="00343A00">
            <w:pPr>
              <w:pStyle w:val="TableHeading"/>
              <w:keepNext/>
              <w:spacing w:after="0"/>
              <w:jc w:val="center"/>
              <w:rPr>
                <w:sz w:val="18"/>
              </w:rPr>
            </w:pPr>
            <w:proofErr w:type="spellStart"/>
            <w:r>
              <w:rPr>
                <w:sz w:val="18"/>
              </w:rPr>
              <w:t>Opex</w:t>
            </w:r>
            <w:proofErr w:type="spellEnd"/>
          </w:p>
        </w:tc>
        <w:tc>
          <w:tcPr>
            <w:tcW w:w="1380" w:type="dxa"/>
            <w:shd w:val="clear" w:color="auto" w:fill="DEEAF5"/>
            <w:vAlign w:val="center"/>
          </w:tcPr>
          <w:p w14:paraId="7617D637" w14:textId="77777777" w:rsidR="009A19B3" w:rsidRPr="003D08B1" w:rsidRDefault="009A19B3" w:rsidP="00343A00">
            <w:pPr>
              <w:pStyle w:val="TableHeading"/>
              <w:keepNext/>
              <w:spacing w:after="0"/>
              <w:jc w:val="center"/>
              <w:rPr>
                <w:sz w:val="18"/>
              </w:rPr>
            </w:pPr>
            <w:r w:rsidRPr="003D08B1">
              <w:rPr>
                <w:sz w:val="18"/>
              </w:rPr>
              <w:t>Total</w:t>
            </w:r>
          </w:p>
        </w:tc>
      </w:tr>
      <w:tr w:rsidR="009A19B3" w:rsidRPr="006F4513" w14:paraId="45419C19" w14:textId="77777777" w:rsidTr="0031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3657" w:type="dxa"/>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14838B19" w14:textId="77777777" w:rsidR="009A19B3" w:rsidRPr="006F4513" w:rsidRDefault="009A19B3" w:rsidP="00343A00">
            <w:pPr>
              <w:keepNext/>
              <w:spacing w:after="0"/>
              <w:rPr>
                <w:color w:val="000000"/>
                <w:sz w:val="18"/>
                <w:szCs w:val="18"/>
                <w:lang w:val="en-NZ" w:eastAsia="en-NZ"/>
              </w:rPr>
            </w:pPr>
            <w:r w:rsidRPr="006F4513">
              <w:rPr>
                <w:color w:val="000000"/>
                <w:sz w:val="18"/>
                <w:szCs w:val="16"/>
                <w:lang w:val="en-NZ" w:eastAsia="en-NZ"/>
              </w:rPr>
              <w:t xml:space="preserve">Actual </w:t>
            </w:r>
            <w:r>
              <w:rPr>
                <w:color w:val="000000"/>
                <w:sz w:val="18"/>
                <w:szCs w:val="16"/>
                <w:lang w:val="en-NZ" w:eastAsia="en-NZ"/>
              </w:rPr>
              <w:t>project spend</w:t>
            </w:r>
            <w:r w:rsidRPr="006F4513">
              <w:rPr>
                <w:color w:val="000000"/>
                <w:sz w:val="18"/>
                <w:szCs w:val="16"/>
                <w:lang w:val="en-NZ" w:eastAsia="en-NZ"/>
              </w:rPr>
              <w:t xml:space="preserve"> to date</w:t>
            </w:r>
            <w:r>
              <w:rPr>
                <w:color w:val="000000"/>
                <w:sz w:val="18"/>
                <w:szCs w:val="16"/>
                <w:lang w:val="en-NZ" w:eastAsia="en-NZ"/>
              </w:rPr>
              <w:t>:</w:t>
            </w:r>
          </w:p>
        </w:tc>
        <w:tc>
          <w:tcPr>
            <w:tcW w:w="1559" w:type="dxa"/>
            <w:tcBorders>
              <w:top w:val="single" w:sz="8" w:space="0" w:color="DCE6F1"/>
              <w:left w:val="nil"/>
              <w:bottom w:val="single" w:sz="8" w:space="0" w:color="DCE6F1"/>
              <w:right w:val="single" w:sz="8" w:space="0" w:color="DCE6F1"/>
            </w:tcBorders>
            <w:shd w:val="clear" w:color="auto" w:fill="DEEAF5"/>
            <w:vAlign w:val="center"/>
          </w:tcPr>
          <w:p w14:paraId="157BF861" w14:textId="77777777" w:rsidR="009A19B3" w:rsidRPr="006F4513" w:rsidRDefault="009A19B3" w:rsidP="00343A00">
            <w:pPr>
              <w:keepNext/>
              <w:spacing w:after="0"/>
              <w:rPr>
                <w:color w:val="000000"/>
                <w:sz w:val="18"/>
                <w:szCs w:val="18"/>
                <w:lang w:val="en-NZ" w:eastAsia="en-NZ"/>
              </w:rPr>
            </w:pPr>
            <w:r w:rsidRPr="00482953">
              <w:rPr>
                <w:color w:val="000000"/>
                <w:sz w:val="18"/>
                <w:szCs w:val="18"/>
                <w:highlight w:val="yellow"/>
                <w:lang w:val="en-NZ" w:eastAsia="en-NZ"/>
              </w:rPr>
              <w:t>at xx-20xx</w:t>
            </w:r>
          </w:p>
        </w:tc>
        <w:tc>
          <w:tcPr>
            <w:tcW w:w="1380" w:type="dxa"/>
            <w:tcBorders>
              <w:top w:val="single" w:sz="8" w:space="0" w:color="DCE6F1"/>
              <w:left w:val="nil"/>
              <w:bottom w:val="single" w:sz="8" w:space="0" w:color="DCE6F1"/>
              <w:right w:val="single" w:sz="8" w:space="0" w:color="DCE6F1"/>
            </w:tcBorders>
            <w:shd w:val="clear" w:color="000000" w:fill="FFFFFF"/>
            <w:vAlign w:val="center"/>
          </w:tcPr>
          <w:p w14:paraId="4FF460DA" w14:textId="77777777" w:rsidR="009A19B3" w:rsidRPr="006F4513" w:rsidRDefault="009A19B3" w:rsidP="00343A00">
            <w:pPr>
              <w:keepNext/>
              <w:spacing w:after="0"/>
              <w:jc w:val="right"/>
              <w:rPr>
                <w:color w:val="000000"/>
                <w:sz w:val="20"/>
                <w:lang w:val="en-NZ" w:eastAsia="en-NZ"/>
              </w:rPr>
            </w:pPr>
          </w:p>
        </w:tc>
        <w:tc>
          <w:tcPr>
            <w:tcW w:w="1380" w:type="dxa"/>
            <w:tcBorders>
              <w:top w:val="single" w:sz="8" w:space="0" w:color="DCE6F1"/>
              <w:left w:val="nil"/>
              <w:bottom w:val="single" w:sz="8" w:space="0" w:color="DCE6F1"/>
              <w:right w:val="single" w:sz="8" w:space="0" w:color="DCE6F1"/>
            </w:tcBorders>
            <w:shd w:val="clear" w:color="auto" w:fill="auto"/>
            <w:vAlign w:val="center"/>
          </w:tcPr>
          <w:p w14:paraId="6D346D33" w14:textId="77777777" w:rsidR="009A19B3" w:rsidRPr="006F4513" w:rsidRDefault="009A19B3" w:rsidP="00343A00">
            <w:pPr>
              <w:keepNext/>
              <w:spacing w:after="0"/>
              <w:jc w:val="right"/>
              <w:rPr>
                <w:color w:val="000000"/>
                <w:sz w:val="20"/>
                <w:lang w:val="en-NZ" w:eastAsia="en-NZ"/>
              </w:rPr>
            </w:pPr>
          </w:p>
        </w:tc>
        <w:tc>
          <w:tcPr>
            <w:tcW w:w="1380" w:type="dxa"/>
            <w:tcBorders>
              <w:top w:val="single" w:sz="8" w:space="0" w:color="DCE6F1"/>
              <w:left w:val="nil"/>
              <w:bottom w:val="single" w:sz="8" w:space="0" w:color="DCE6F1"/>
              <w:right w:val="single" w:sz="8" w:space="0" w:color="DCE6F1"/>
            </w:tcBorders>
            <w:shd w:val="clear" w:color="auto" w:fill="auto"/>
            <w:noWrap/>
            <w:vAlign w:val="center"/>
          </w:tcPr>
          <w:p w14:paraId="0F4E2DD9" w14:textId="77777777" w:rsidR="009A19B3" w:rsidRPr="006F4513" w:rsidRDefault="009A19B3" w:rsidP="00343A00">
            <w:pPr>
              <w:keepNext/>
              <w:spacing w:after="0"/>
              <w:jc w:val="right"/>
              <w:rPr>
                <w:color w:val="000000"/>
                <w:sz w:val="20"/>
                <w:lang w:val="en-NZ" w:eastAsia="en-NZ"/>
              </w:rPr>
            </w:pPr>
            <w:r>
              <w:rPr>
                <w:color w:val="000000"/>
                <w:sz w:val="20"/>
                <w:lang w:val="en-NZ" w:eastAsia="en-NZ"/>
              </w:rPr>
              <w:t>0</w:t>
            </w:r>
          </w:p>
        </w:tc>
      </w:tr>
      <w:tr w:rsidR="009A19B3" w:rsidRPr="006F4513" w14:paraId="2FB65DDB" w14:textId="77777777" w:rsidTr="0031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010E42C1" w14:textId="77777777" w:rsidR="009A19B3" w:rsidRPr="006F4513" w:rsidRDefault="009A19B3" w:rsidP="00343A00">
            <w:pPr>
              <w:keepNext/>
              <w:spacing w:after="0"/>
              <w:rPr>
                <w:color w:val="000000"/>
                <w:sz w:val="18"/>
                <w:szCs w:val="18"/>
                <w:lang w:val="en-NZ" w:eastAsia="en-NZ"/>
              </w:rPr>
            </w:pPr>
            <w:r>
              <w:rPr>
                <w:color w:val="000000"/>
                <w:sz w:val="18"/>
                <w:szCs w:val="16"/>
                <w:lang w:val="en-NZ" w:eastAsia="en-NZ"/>
              </w:rPr>
              <w:t>Estimate to complete</w:t>
            </w:r>
            <w:r w:rsidRPr="006F4513">
              <w:rPr>
                <w:color w:val="000000"/>
                <w:sz w:val="18"/>
                <w:szCs w:val="16"/>
                <w:lang w:val="en-NZ" w:eastAsia="en-NZ"/>
              </w:rPr>
              <w:t xml:space="preserve"> </w:t>
            </w:r>
            <w:r>
              <w:rPr>
                <w:color w:val="000000"/>
                <w:sz w:val="18"/>
                <w:szCs w:val="16"/>
                <w:lang w:val="en-NZ" w:eastAsia="en-NZ"/>
              </w:rPr>
              <w:t xml:space="preserve">this project </w:t>
            </w:r>
            <w:r w:rsidRPr="006F4513">
              <w:rPr>
                <w:color w:val="000000"/>
                <w:sz w:val="18"/>
                <w:szCs w:val="16"/>
                <w:lang w:val="en-NZ" w:eastAsia="en-NZ"/>
              </w:rPr>
              <w:t>(all phases)</w:t>
            </w:r>
            <w:r>
              <w:rPr>
                <w:color w:val="000000"/>
                <w:sz w:val="18"/>
                <w:szCs w:val="16"/>
                <w:lang w:val="en-NZ" w:eastAsia="en-NZ"/>
              </w:rPr>
              <w:t>:</w:t>
            </w:r>
          </w:p>
        </w:tc>
        <w:tc>
          <w:tcPr>
            <w:tcW w:w="1380" w:type="dxa"/>
            <w:tcBorders>
              <w:top w:val="nil"/>
              <w:left w:val="nil"/>
              <w:bottom w:val="single" w:sz="8" w:space="0" w:color="DCE6F1"/>
              <w:right w:val="single" w:sz="8" w:space="0" w:color="DCE6F1"/>
            </w:tcBorders>
            <w:shd w:val="clear" w:color="000000" w:fill="FFFFFF"/>
            <w:noWrap/>
            <w:vAlign w:val="center"/>
          </w:tcPr>
          <w:p w14:paraId="1B238729" w14:textId="77777777" w:rsidR="009A19B3" w:rsidRPr="006F4513" w:rsidRDefault="009A19B3" w:rsidP="00343A00">
            <w:pPr>
              <w:keepNext/>
              <w:spacing w:after="0"/>
              <w:jc w:val="right"/>
              <w:rPr>
                <w:color w:val="000000"/>
                <w:sz w:val="20"/>
                <w:lang w:val="en-NZ" w:eastAsia="en-NZ"/>
              </w:rPr>
            </w:pPr>
          </w:p>
        </w:tc>
        <w:tc>
          <w:tcPr>
            <w:tcW w:w="1380" w:type="dxa"/>
            <w:tcBorders>
              <w:top w:val="nil"/>
              <w:left w:val="nil"/>
              <w:bottom w:val="single" w:sz="8" w:space="0" w:color="DCE6F1"/>
              <w:right w:val="single" w:sz="8" w:space="0" w:color="DCE6F1"/>
            </w:tcBorders>
            <w:shd w:val="clear" w:color="auto" w:fill="auto"/>
            <w:noWrap/>
            <w:vAlign w:val="center"/>
          </w:tcPr>
          <w:p w14:paraId="3D04E758" w14:textId="77777777" w:rsidR="009A19B3" w:rsidRPr="006F4513" w:rsidRDefault="009A19B3" w:rsidP="00343A00">
            <w:pPr>
              <w:keepNext/>
              <w:spacing w:after="0"/>
              <w:jc w:val="right"/>
              <w:rPr>
                <w:color w:val="000000"/>
                <w:sz w:val="20"/>
                <w:lang w:val="en-NZ" w:eastAsia="en-NZ"/>
              </w:rPr>
            </w:pPr>
          </w:p>
        </w:tc>
        <w:tc>
          <w:tcPr>
            <w:tcW w:w="1380" w:type="dxa"/>
            <w:tcBorders>
              <w:top w:val="nil"/>
              <w:left w:val="nil"/>
              <w:bottom w:val="single" w:sz="8" w:space="0" w:color="DCE6F1"/>
              <w:right w:val="single" w:sz="8" w:space="0" w:color="DCE6F1"/>
            </w:tcBorders>
            <w:shd w:val="clear" w:color="auto" w:fill="auto"/>
            <w:noWrap/>
            <w:vAlign w:val="center"/>
          </w:tcPr>
          <w:p w14:paraId="002BE9D6" w14:textId="77777777" w:rsidR="009A19B3" w:rsidRPr="006F4513" w:rsidRDefault="009A19B3" w:rsidP="00343A00">
            <w:pPr>
              <w:keepNext/>
              <w:spacing w:after="0"/>
              <w:jc w:val="right"/>
              <w:rPr>
                <w:color w:val="000000"/>
                <w:sz w:val="20"/>
                <w:lang w:val="en-NZ" w:eastAsia="en-NZ"/>
              </w:rPr>
            </w:pPr>
            <w:r>
              <w:rPr>
                <w:color w:val="000000"/>
                <w:sz w:val="20"/>
                <w:lang w:val="en-NZ" w:eastAsia="en-NZ"/>
              </w:rPr>
              <w:t>0</w:t>
            </w:r>
          </w:p>
        </w:tc>
      </w:tr>
      <w:tr w:rsidR="009A19B3" w:rsidRPr="006F4513" w14:paraId="3C12EA84" w14:textId="77777777" w:rsidTr="0031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023B6D5C" w14:textId="77777777" w:rsidR="009A19B3" w:rsidRPr="006F4513" w:rsidRDefault="009A19B3" w:rsidP="00343A00">
            <w:pPr>
              <w:keepNext/>
              <w:spacing w:after="0"/>
              <w:rPr>
                <w:color w:val="000000"/>
                <w:sz w:val="18"/>
                <w:szCs w:val="18"/>
                <w:lang w:val="en-NZ" w:eastAsia="en-NZ"/>
              </w:rPr>
            </w:pPr>
            <w:r>
              <w:rPr>
                <w:color w:val="000000"/>
                <w:sz w:val="18"/>
                <w:szCs w:val="16"/>
                <w:lang w:val="en-NZ" w:eastAsia="en-NZ"/>
              </w:rPr>
              <w:t>Project c</w:t>
            </w:r>
            <w:r w:rsidRPr="006F4513">
              <w:rPr>
                <w:color w:val="000000"/>
                <w:sz w:val="18"/>
                <w:szCs w:val="16"/>
                <w:lang w:val="en-NZ" w:eastAsia="en-NZ"/>
              </w:rPr>
              <w:t>ontingency</w:t>
            </w:r>
            <w:r>
              <w:rPr>
                <w:color w:val="000000"/>
                <w:sz w:val="18"/>
                <w:szCs w:val="16"/>
                <w:lang w:val="en-NZ" w:eastAsia="en-NZ"/>
              </w:rPr>
              <w:t>:</w:t>
            </w:r>
          </w:p>
        </w:tc>
        <w:tc>
          <w:tcPr>
            <w:tcW w:w="1380" w:type="dxa"/>
            <w:tcBorders>
              <w:top w:val="nil"/>
              <w:left w:val="nil"/>
              <w:bottom w:val="single" w:sz="8" w:space="0" w:color="DCE6F1"/>
              <w:right w:val="single" w:sz="8" w:space="0" w:color="DCE6F1"/>
            </w:tcBorders>
            <w:shd w:val="clear" w:color="000000" w:fill="FFFFFF"/>
            <w:noWrap/>
            <w:vAlign w:val="center"/>
          </w:tcPr>
          <w:p w14:paraId="3CDF1945" w14:textId="77777777" w:rsidR="009A19B3" w:rsidRPr="006F4513" w:rsidRDefault="009A19B3" w:rsidP="00343A00">
            <w:pPr>
              <w:keepNext/>
              <w:spacing w:after="0"/>
              <w:jc w:val="right"/>
              <w:rPr>
                <w:color w:val="000000"/>
                <w:sz w:val="20"/>
                <w:lang w:val="en-NZ" w:eastAsia="en-NZ"/>
              </w:rPr>
            </w:pPr>
          </w:p>
        </w:tc>
        <w:tc>
          <w:tcPr>
            <w:tcW w:w="1380" w:type="dxa"/>
            <w:tcBorders>
              <w:top w:val="nil"/>
              <w:left w:val="nil"/>
              <w:bottom w:val="single" w:sz="8" w:space="0" w:color="DCE6F1"/>
              <w:right w:val="single" w:sz="8" w:space="0" w:color="DCE6F1"/>
            </w:tcBorders>
            <w:shd w:val="clear" w:color="auto" w:fill="auto"/>
            <w:noWrap/>
            <w:vAlign w:val="center"/>
          </w:tcPr>
          <w:p w14:paraId="55D94468" w14:textId="77777777" w:rsidR="009A19B3" w:rsidRPr="006F4513" w:rsidRDefault="009A19B3" w:rsidP="00343A00">
            <w:pPr>
              <w:keepNext/>
              <w:spacing w:after="0"/>
              <w:jc w:val="right"/>
              <w:rPr>
                <w:color w:val="000000"/>
                <w:sz w:val="20"/>
                <w:lang w:val="en-NZ" w:eastAsia="en-NZ"/>
              </w:rPr>
            </w:pPr>
          </w:p>
        </w:tc>
        <w:tc>
          <w:tcPr>
            <w:tcW w:w="1380" w:type="dxa"/>
            <w:tcBorders>
              <w:top w:val="nil"/>
              <w:left w:val="nil"/>
              <w:bottom w:val="single" w:sz="8" w:space="0" w:color="DCE6F1"/>
              <w:right w:val="single" w:sz="8" w:space="0" w:color="DCE6F1"/>
            </w:tcBorders>
            <w:shd w:val="clear" w:color="auto" w:fill="auto"/>
            <w:noWrap/>
            <w:vAlign w:val="center"/>
          </w:tcPr>
          <w:p w14:paraId="0B22408C" w14:textId="77777777" w:rsidR="009A19B3" w:rsidRPr="006F4513" w:rsidRDefault="009A19B3" w:rsidP="00343A00">
            <w:pPr>
              <w:keepNext/>
              <w:spacing w:after="0"/>
              <w:jc w:val="right"/>
              <w:rPr>
                <w:color w:val="000000"/>
                <w:sz w:val="20"/>
                <w:lang w:val="en-NZ" w:eastAsia="en-NZ"/>
              </w:rPr>
            </w:pPr>
            <w:r>
              <w:rPr>
                <w:color w:val="000000"/>
                <w:sz w:val="20"/>
                <w:lang w:val="en-NZ" w:eastAsia="en-NZ"/>
              </w:rPr>
              <w:t>0</w:t>
            </w:r>
          </w:p>
        </w:tc>
      </w:tr>
      <w:tr w:rsidR="009A19B3" w:rsidRPr="006F4513" w14:paraId="49FE8565" w14:textId="77777777" w:rsidTr="0031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auto"/>
              <w:right w:val="single" w:sz="8" w:space="0" w:color="DCE6F1"/>
            </w:tcBorders>
            <w:shd w:val="clear" w:color="auto" w:fill="DEEAF5"/>
            <w:noWrap/>
            <w:vAlign w:val="center"/>
          </w:tcPr>
          <w:p w14:paraId="3CBB9183" w14:textId="77777777" w:rsidR="009A19B3" w:rsidRPr="006F4513" w:rsidRDefault="009A19B3" w:rsidP="00343A00">
            <w:pPr>
              <w:keepNext/>
              <w:spacing w:after="0"/>
              <w:rPr>
                <w:color w:val="000000"/>
                <w:sz w:val="18"/>
                <w:szCs w:val="16"/>
                <w:lang w:val="en-NZ" w:eastAsia="en-NZ"/>
              </w:rPr>
            </w:pPr>
            <w:r>
              <w:rPr>
                <w:color w:val="000000"/>
                <w:sz w:val="18"/>
                <w:szCs w:val="16"/>
                <w:lang w:val="en-NZ" w:eastAsia="en-NZ"/>
              </w:rPr>
              <w:t>Other whole-of-life operating costs:</w:t>
            </w:r>
          </w:p>
        </w:tc>
        <w:tc>
          <w:tcPr>
            <w:tcW w:w="1380" w:type="dxa"/>
            <w:tcBorders>
              <w:top w:val="nil"/>
              <w:left w:val="nil"/>
              <w:bottom w:val="single" w:sz="8" w:space="0" w:color="auto"/>
              <w:right w:val="single" w:sz="8" w:space="0" w:color="DCE6F1"/>
            </w:tcBorders>
            <w:shd w:val="clear" w:color="auto" w:fill="DEEAF6" w:themeFill="accent5" w:themeFillTint="33"/>
            <w:noWrap/>
            <w:vAlign w:val="center"/>
          </w:tcPr>
          <w:p w14:paraId="02CA13FA" w14:textId="77777777" w:rsidR="009A19B3" w:rsidRPr="006F4513" w:rsidRDefault="009A19B3" w:rsidP="00343A00">
            <w:pPr>
              <w:keepNext/>
              <w:spacing w:after="0"/>
              <w:jc w:val="right"/>
              <w:rPr>
                <w:color w:val="000000"/>
                <w:sz w:val="20"/>
                <w:lang w:val="en-NZ" w:eastAsia="en-NZ"/>
              </w:rPr>
            </w:pPr>
          </w:p>
        </w:tc>
        <w:tc>
          <w:tcPr>
            <w:tcW w:w="1380" w:type="dxa"/>
            <w:tcBorders>
              <w:top w:val="nil"/>
              <w:left w:val="nil"/>
              <w:bottom w:val="single" w:sz="8" w:space="0" w:color="auto"/>
              <w:right w:val="single" w:sz="8" w:space="0" w:color="DCE6F1"/>
            </w:tcBorders>
            <w:shd w:val="clear" w:color="auto" w:fill="auto"/>
            <w:noWrap/>
            <w:vAlign w:val="center"/>
          </w:tcPr>
          <w:p w14:paraId="1D6D18F1" w14:textId="77777777" w:rsidR="009A19B3" w:rsidRPr="006F4513" w:rsidRDefault="009A19B3" w:rsidP="00343A00">
            <w:pPr>
              <w:keepNext/>
              <w:spacing w:after="0"/>
              <w:jc w:val="right"/>
              <w:rPr>
                <w:color w:val="000000"/>
                <w:sz w:val="20"/>
                <w:lang w:val="en-NZ" w:eastAsia="en-NZ"/>
              </w:rPr>
            </w:pPr>
          </w:p>
        </w:tc>
        <w:tc>
          <w:tcPr>
            <w:tcW w:w="1380" w:type="dxa"/>
            <w:tcBorders>
              <w:top w:val="nil"/>
              <w:left w:val="nil"/>
              <w:bottom w:val="single" w:sz="8" w:space="0" w:color="auto"/>
              <w:right w:val="single" w:sz="8" w:space="0" w:color="DCE6F1"/>
            </w:tcBorders>
            <w:shd w:val="clear" w:color="auto" w:fill="auto"/>
            <w:noWrap/>
            <w:vAlign w:val="center"/>
          </w:tcPr>
          <w:p w14:paraId="7D629517" w14:textId="77777777" w:rsidR="009A19B3" w:rsidRPr="006F4513" w:rsidRDefault="009A19B3" w:rsidP="00343A00">
            <w:pPr>
              <w:keepNext/>
              <w:spacing w:after="0"/>
              <w:jc w:val="right"/>
              <w:rPr>
                <w:color w:val="000000"/>
                <w:sz w:val="20"/>
                <w:lang w:val="en-NZ" w:eastAsia="en-NZ"/>
              </w:rPr>
            </w:pPr>
            <w:r>
              <w:rPr>
                <w:color w:val="000000"/>
                <w:sz w:val="20"/>
                <w:lang w:val="en-NZ" w:eastAsia="en-NZ"/>
              </w:rPr>
              <w:t>0</w:t>
            </w:r>
          </w:p>
        </w:tc>
      </w:tr>
      <w:tr w:rsidR="009A19B3" w:rsidRPr="006F4513" w:rsidDel="0011283A" w14:paraId="065BDDD1" w14:textId="77777777" w:rsidTr="0031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216" w:type="dxa"/>
            <w:gridSpan w:val="2"/>
            <w:tcBorders>
              <w:top w:val="single" w:sz="8" w:space="0" w:color="auto"/>
              <w:left w:val="single" w:sz="8" w:space="0" w:color="DCE6F1"/>
              <w:bottom w:val="single" w:sz="8" w:space="0" w:color="auto"/>
              <w:right w:val="single" w:sz="8" w:space="0" w:color="DCE6F1"/>
            </w:tcBorders>
            <w:shd w:val="clear" w:color="auto" w:fill="DEEAF5"/>
            <w:noWrap/>
            <w:vAlign w:val="center"/>
            <w:hideMark/>
          </w:tcPr>
          <w:p w14:paraId="44505F37" w14:textId="77777777" w:rsidR="009A19B3" w:rsidRPr="00C443BE" w:rsidDel="0011283A" w:rsidRDefault="009A19B3" w:rsidP="00343A00">
            <w:pPr>
              <w:spacing w:after="0"/>
              <w:rPr>
                <w:bCs/>
                <w:color w:val="002060"/>
                <w:sz w:val="20"/>
                <w:lang w:val="en-NZ" w:eastAsia="en-NZ"/>
              </w:rPr>
            </w:pPr>
            <w:r w:rsidRPr="00C443BE" w:rsidDel="0011283A">
              <w:rPr>
                <w:bCs/>
                <w:color w:val="002060"/>
                <w:sz w:val="20"/>
                <w:lang w:val="en-NZ" w:eastAsia="en-NZ"/>
              </w:rPr>
              <w:t>Total</w:t>
            </w:r>
            <w:r w:rsidDel="0011283A">
              <w:rPr>
                <w:bCs/>
                <w:color w:val="002060"/>
                <w:sz w:val="20"/>
                <w:lang w:val="en-NZ" w:eastAsia="en-NZ"/>
              </w:rPr>
              <w:t xml:space="preserve"> </w:t>
            </w:r>
            <w:r>
              <w:rPr>
                <w:bCs/>
                <w:color w:val="002060"/>
                <w:sz w:val="20"/>
                <w:lang w:val="en-NZ" w:eastAsia="en-NZ"/>
              </w:rPr>
              <w:t>whole-of-life cost</w:t>
            </w:r>
          </w:p>
        </w:tc>
        <w:tc>
          <w:tcPr>
            <w:tcW w:w="1380" w:type="dxa"/>
            <w:tcBorders>
              <w:top w:val="single" w:sz="8" w:space="0" w:color="auto"/>
              <w:left w:val="nil"/>
              <w:bottom w:val="single" w:sz="8" w:space="0" w:color="auto"/>
              <w:right w:val="single" w:sz="8" w:space="0" w:color="DCE6F1"/>
            </w:tcBorders>
            <w:shd w:val="clear" w:color="auto" w:fill="F2F2F2" w:themeFill="background1" w:themeFillShade="F2"/>
            <w:vAlign w:val="center"/>
          </w:tcPr>
          <w:p w14:paraId="5A618D8E" w14:textId="77777777" w:rsidR="009A19B3" w:rsidRPr="007F34D1" w:rsidDel="0011283A" w:rsidRDefault="009A19B3" w:rsidP="00343A00">
            <w:pPr>
              <w:spacing w:after="0"/>
              <w:jc w:val="right"/>
              <w:rPr>
                <w:color w:val="002060"/>
                <w:sz w:val="20"/>
                <w:lang w:val="en-NZ" w:eastAsia="en-NZ"/>
              </w:rPr>
            </w:pPr>
          </w:p>
        </w:tc>
        <w:tc>
          <w:tcPr>
            <w:tcW w:w="1380" w:type="dxa"/>
            <w:tcBorders>
              <w:top w:val="single" w:sz="8" w:space="0" w:color="auto"/>
              <w:left w:val="nil"/>
              <w:bottom w:val="single" w:sz="8" w:space="0" w:color="auto"/>
              <w:right w:val="single" w:sz="8" w:space="0" w:color="DCE6F1"/>
            </w:tcBorders>
            <w:shd w:val="clear" w:color="auto" w:fill="F2F2F2" w:themeFill="background1" w:themeFillShade="F2"/>
            <w:vAlign w:val="center"/>
          </w:tcPr>
          <w:p w14:paraId="6B8072D9" w14:textId="77777777" w:rsidR="009A19B3" w:rsidRPr="001C101B" w:rsidDel="0011283A" w:rsidRDefault="009A19B3" w:rsidP="00343A00">
            <w:pPr>
              <w:spacing w:after="0"/>
              <w:jc w:val="right"/>
              <w:rPr>
                <w:color w:val="002060"/>
                <w:sz w:val="20"/>
                <w:lang w:val="en-NZ" w:eastAsia="en-NZ"/>
              </w:rPr>
            </w:pPr>
          </w:p>
        </w:tc>
        <w:tc>
          <w:tcPr>
            <w:tcW w:w="1380" w:type="dxa"/>
            <w:tcBorders>
              <w:top w:val="single" w:sz="8" w:space="0" w:color="auto"/>
              <w:left w:val="nil"/>
              <w:bottom w:val="single" w:sz="8" w:space="0" w:color="auto"/>
              <w:right w:val="single" w:sz="8" w:space="0" w:color="DCE6F1"/>
            </w:tcBorders>
            <w:shd w:val="clear" w:color="auto" w:fill="F2F2F2" w:themeFill="background1" w:themeFillShade="F2"/>
            <w:vAlign w:val="center"/>
          </w:tcPr>
          <w:p w14:paraId="39C2EF1C" w14:textId="77777777" w:rsidR="009A19B3" w:rsidRPr="009B17FB" w:rsidDel="0011283A" w:rsidRDefault="009A19B3" w:rsidP="00343A00">
            <w:pPr>
              <w:spacing w:after="0"/>
              <w:jc w:val="right"/>
              <w:rPr>
                <w:color w:val="002060"/>
                <w:sz w:val="20"/>
                <w:lang w:val="en-NZ" w:eastAsia="en-NZ"/>
              </w:rPr>
            </w:pPr>
          </w:p>
        </w:tc>
      </w:tr>
      <w:tr w:rsidR="009A19B3" w:rsidRPr="0023118B" w14:paraId="08D5705C" w14:textId="77777777" w:rsidTr="0031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5216" w:type="dxa"/>
            <w:gridSpan w:val="2"/>
            <w:tcBorders>
              <w:top w:val="single" w:sz="8" w:space="0" w:color="DCE6F1"/>
              <w:left w:val="single" w:sz="8" w:space="0" w:color="DCE6F1"/>
              <w:bottom w:val="single" w:sz="8" w:space="0" w:color="DCE6F1"/>
              <w:right w:val="single" w:sz="8" w:space="0" w:color="DCE6F1"/>
            </w:tcBorders>
            <w:shd w:val="clear" w:color="auto" w:fill="DEEAF5"/>
            <w:noWrap/>
            <w:vAlign w:val="center"/>
            <w:hideMark/>
          </w:tcPr>
          <w:p w14:paraId="0D5949D6" w14:textId="77777777" w:rsidR="009A19B3" w:rsidRPr="0023118B" w:rsidRDefault="009A19B3" w:rsidP="00343A00">
            <w:pPr>
              <w:keepNext/>
              <w:spacing w:after="0"/>
              <w:rPr>
                <w:color w:val="595959" w:themeColor="text1" w:themeTint="A6"/>
                <w:sz w:val="18"/>
                <w:szCs w:val="18"/>
                <w:lang w:val="en-NZ" w:eastAsia="en-NZ"/>
              </w:rPr>
            </w:pPr>
            <w:r w:rsidRPr="0023118B">
              <w:rPr>
                <w:color w:val="595959" w:themeColor="text1" w:themeTint="A6"/>
                <w:sz w:val="18"/>
                <w:szCs w:val="16"/>
                <w:lang w:val="en-NZ" w:eastAsia="en-NZ"/>
              </w:rPr>
              <w:t xml:space="preserve">Total </w:t>
            </w:r>
            <w:proofErr w:type="spellStart"/>
            <w:r w:rsidRPr="0023118B">
              <w:rPr>
                <w:color w:val="595959" w:themeColor="text1" w:themeTint="A6"/>
                <w:sz w:val="18"/>
                <w:szCs w:val="16"/>
                <w:lang w:val="en-NZ" w:eastAsia="en-NZ"/>
              </w:rPr>
              <w:t>WoL</w:t>
            </w:r>
            <w:r>
              <w:rPr>
                <w:color w:val="595959" w:themeColor="text1" w:themeTint="A6"/>
                <w:sz w:val="18"/>
                <w:szCs w:val="16"/>
                <w:lang w:val="en-NZ" w:eastAsia="en-NZ"/>
              </w:rPr>
              <w:t>C</w:t>
            </w:r>
            <w:proofErr w:type="spellEnd"/>
            <w:r w:rsidRPr="0023118B">
              <w:rPr>
                <w:color w:val="595959" w:themeColor="text1" w:themeTint="A6"/>
                <w:sz w:val="18"/>
                <w:szCs w:val="16"/>
                <w:lang w:val="en-NZ" w:eastAsia="en-NZ"/>
              </w:rPr>
              <w:t xml:space="preserve"> estimate from previous BC*: </w:t>
            </w:r>
          </w:p>
        </w:tc>
        <w:tc>
          <w:tcPr>
            <w:tcW w:w="1380" w:type="dxa"/>
            <w:tcBorders>
              <w:top w:val="nil"/>
              <w:left w:val="nil"/>
              <w:bottom w:val="single" w:sz="8" w:space="0" w:color="DCE6F1"/>
              <w:right w:val="single" w:sz="8" w:space="0" w:color="DCE6F1"/>
            </w:tcBorders>
            <w:shd w:val="clear" w:color="000000" w:fill="FFFFFF"/>
            <w:noWrap/>
            <w:vAlign w:val="center"/>
          </w:tcPr>
          <w:p w14:paraId="35723EFB" w14:textId="77777777" w:rsidR="009A19B3" w:rsidRPr="0023118B" w:rsidRDefault="009A19B3" w:rsidP="00343A00">
            <w:pPr>
              <w:keepNext/>
              <w:spacing w:after="0"/>
              <w:jc w:val="right"/>
              <w:rPr>
                <w:color w:val="595959" w:themeColor="text1" w:themeTint="A6"/>
                <w:sz w:val="20"/>
                <w:lang w:val="en-NZ" w:eastAsia="en-NZ"/>
              </w:rPr>
            </w:pPr>
          </w:p>
        </w:tc>
        <w:tc>
          <w:tcPr>
            <w:tcW w:w="1380" w:type="dxa"/>
            <w:tcBorders>
              <w:top w:val="nil"/>
              <w:left w:val="nil"/>
              <w:bottom w:val="single" w:sz="8" w:space="0" w:color="DCE6F1"/>
              <w:right w:val="single" w:sz="8" w:space="0" w:color="DCE6F1"/>
            </w:tcBorders>
            <w:shd w:val="clear" w:color="auto" w:fill="auto"/>
            <w:noWrap/>
            <w:vAlign w:val="center"/>
          </w:tcPr>
          <w:p w14:paraId="7AE6EB69" w14:textId="77777777" w:rsidR="009A19B3" w:rsidRPr="0023118B" w:rsidRDefault="009A19B3" w:rsidP="00343A00">
            <w:pPr>
              <w:keepNext/>
              <w:spacing w:after="0"/>
              <w:jc w:val="right"/>
              <w:rPr>
                <w:color w:val="595959" w:themeColor="text1" w:themeTint="A6"/>
                <w:sz w:val="20"/>
                <w:lang w:val="en-NZ" w:eastAsia="en-NZ"/>
              </w:rPr>
            </w:pPr>
          </w:p>
        </w:tc>
        <w:tc>
          <w:tcPr>
            <w:tcW w:w="1380" w:type="dxa"/>
            <w:tcBorders>
              <w:top w:val="nil"/>
              <w:left w:val="nil"/>
              <w:bottom w:val="single" w:sz="8" w:space="0" w:color="DCE6F1"/>
              <w:right w:val="single" w:sz="8" w:space="0" w:color="DCE6F1"/>
            </w:tcBorders>
            <w:shd w:val="clear" w:color="auto" w:fill="auto"/>
            <w:noWrap/>
            <w:vAlign w:val="center"/>
          </w:tcPr>
          <w:p w14:paraId="07E21F3F" w14:textId="77777777" w:rsidR="009A19B3" w:rsidRPr="0023118B" w:rsidRDefault="009A19B3" w:rsidP="00343A00">
            <w:pPr>
              <w:keepNext/>
              <w:spacing w:after="0"/>
              <w:jc w:val="right"/>
              <w:rPr>
                <w:color w:val="595959" w:themeColor="text1" w:themeTint="A6"/>
                <w:sz w:val="20"/>
                <w:lang w:val="en-NZ" w:eastAsia="en-NZ"/>
              </w:rPr>
            </w:pPr>
            <w:r w:rsidRPr="0023118B">
              <w:rPr>
                <w:color w:val="595959" w:themeColor="text1" w:themeTint="A6"/>
                <w:sz w:val="20"/>
                <w:lang w:val="en-NZ" w:eastAsia="en-NZ"/>
              </w:rPr>
              <w:t>0</w:t>
            </w:r>
          </w:p>
        </w:tc>
      </w:tr>
      <w:tr w:rsidR="009A19B3" w:rsidRPr="0023118B" w:rsidDel="0011283A" w14:paraId="7F4398A2" w14:textId="77777777" w:rsidTr="00317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216" w:type="dxa"/>
            <w:gridSpan w:val="2"/>
            <w:tcBorders>
              <w:top w:val="single" w:sz="8" w:space="0" w:color="auto"/>
              <w:left w:val="single" w:sz="8" w:space="0" w:color="DCE6F1"/>
              <w:bottom w:val="single" w:sz="8" w:space="0" w:color="DCE6F1"/>
              <w:right w:val="single" w:sz="8" w:space="0" w:color="DCE6F1"/>
            </w:tcBorders>
            <w:shd w:val="clear" w:color="auto" w:fill="DEEAF5"/>
            <w:noWrap/>
            <w:vAlign w:val="center"/>
            <w:hideMark/>
          </w:tcPr>
          <w:p w14:paraId="7F441CEF" w14:textId="77777777" w:rsidR="009A19B3" w:rsidRPr="0023118B" w:rsidDel="0011283A" w:rsidRDefault="009A19B3" w:rsidP="00343A00">
            <w:pPr>
              <w:spacing w:after="0"/>
              <w:rPr>
                <w:bCs/>
                <w:color w:val="595959" w:themeColor="text1" w:themeTint="A6"/>
                <w:sz w:val="18"/>
                <w:szCs w:val="18"/>
                <w:lang w:val="en-NZ" w:eastAsia="en-NZ"/>
              </w:rPr>
            </w:pPr>
            <w:r w:rsidRPr="0023118B">
              <w:rPr>
                <w:bCs/>
                <w:color w:val="595959" w:themeColor="text1" w:themeTint="A6"/>
                <w:sz w:val="18"/>
                <w:szCs w:val="18"/>
                <w:lang w:val="en-NZ" w:eastAsia="en-NZ"/>
              </w:rPr>
              <w:t xml:space="preserve">Change in </w:t>
            </w:r>
            <w:proofErr w:type="spellStart"/>
            <w:r w:rsidRPr="0023118B">
              <w:rPr>
                <w:bCs/>
                <w:color w:val="595959" w:themeColor="text1" w:themeTint="A6"/>
                <w:sz w:val="18"/>
                <w:szCs w:val="18"/>
                <w:lang w:val="en-NZ" w:eastAsia="en-NZ"/>
              </w:rPr>
              <w:t>WoL</w:t>
            </w:r>
            <w:r>
              <w:rPr>
                <w:bCs/>
                <w:color w:val="595959" w:themeColor="text1" w:themeTint="A6"/>
                <w:sz w:val="18"/>
                <w:szCs w:val="18"/>
                <w:lang w:val="en-NZ" w:eastAsia="en-NZ"/>
              </w:rPr>
              <w:t>C</w:t>
            </w:r>
            <w:proofErr w:type="spellEnd"/>
            <w:r w:rsidRPr="0023118B">
              <w:rPr>
                <w:bCs/>
                <w:color w:val="595959" w:themeColor="text1" w:themeTint="A6"/>
                <w:sz w:val="18"/>
                <w:szCs w:val="18"/>
                <w:lang w:val="en-NZ" w:eastAsia="en-NZ"/>
              </w:rPr>
              <w:t xml:space="preserve"> since previous BC:</w:t>
            </w:r>
          </w:p>
        </w:tc>
        <w:tc>
          <w:tcPr>
            <w:tcW w:w="1380" w:type="dxa"/>
            <w:tcBorders>
              <w:top w:val="single" w:sz="8" w:space="0" w:color="auto"/>
              <w:left w:val="nil"/>
              <w:bottom w:val="single" w:sz="4" w:space="0" w:color="A5A5A5" w:themeColor="accent3"/>
              <w:right w:val="single" w:sz="8" w:space="0" w:color="DCE6F1"/>
            </w:tcBorders>
            <w:shd w:val="clear" w:color="auto" w:fill="F2F2F2" w:themeFill="background1" w:themeFillShade="F2"/>
            <w:vAlign w:val="center"/>
          </w:tcPr>
          <w:p w14:paraId="731700C5" w14:textId="77777777" w:rsidR="009A19B3" w:rsidRPr="0023118B" w:rsidDel="0011283A" w:rsidRDefault="009A19B3" w:rsidP="00343A00">
            <w:pPr>
              <w:spacing w:after="0"/>
              <w:jc w:val="right"/>
              <w:rPr>
                <w:color w:val="595959" w:themeColor="text1" w:themeTint="A6"/>
                <w:sz w:val="18"/>
                <w:szCs w:val="18"/>
                <w:lang w:val="en-NZ" w:eastAsia="en-NZ"/>
              </w:rPr>
            </w:pPr>
          </w:p>
        </w:tc>
        <w:tc>
          <w:tcPr>
            <w:tcW w:w="1380" w:type="dxa"/>
            <w:tcBorders>
              <w:top w:val="single" w:sz="8" w:space="0" w:color="auto"/>
              <w:left w:val="nil"/>
              <w:bottom w:val="single" w:sz="4" w:space="0" w:color="A5A5A5" w:themeColor="accent3"/>
              <w:right w:val="single" w:sz="8" w:space="0" w:color="DCE6F1"/>
            </w:tcBorders>
            <w:shd w:val="clear" w:color="auto" w:fill="F2F2F2" w:themeFill="background1" w:themeFillShade="F2"/>
            <w:vAlign w:val="center"/>
          </w:tcPr>
          <w:p w14:paraId="548580D3" w14:textId="77777777" w:rsidR="009A19B3" w:rsidRPr="0023118B" w:rsidDel="0011283A" w:rsidRDefault="009A19B3" w:rsidP="00343A00">
            <w:pPr>
              <w:spacing w:after="0"/>
              <w:jc w:val="right"/>
              <w:rPr>
                <w:color w:val="595959" w:themeColor="text1" w:themeTint="A6"/>
                <w:sz w:val="18"/>
                <w:szCs w:val="18"/>
                <w:lang w:val="en-NZ" w:eastAsia="en-NZ"/>
              </w:rPr>
            </w:pPr>
          </w:p>
        </w:tc>
        <w:tc>
          <w:tcPr>
            <w:tcW w:w="1380" w:type="dxa"/>
            <w:tcBorders>
              <w:top w:val="single" w:sz="8" w:space="0" w:color="auto"/>
              <w:left w:val="nil"/>
              <w:bottom w:val="single" w:sz="4" w:space="0" w:color="A5A5A5" w:themeColor="accent3"/>
              <w:right w:val="single" w:sz="8" w:space="0" w:color="DCE6F1"/>
            </w:tcBorders>
            <w:shd w:val="clear" w:color="auto" w:fill="F2F2F2" w:themeFill="background1" w:themeFillShade="F2"/>
            <w:vAlign w:val="center"/>
          </w:tcPr>
          <w:p w14:paraId="20ABF0DA" w14:textId="77777777" w:rsidR="009A19B3" w:rsidRPr="0023118B" w:rsidDel="0011283A" w:rsidRDefault="009A19B3" w:rsidP="00343A00">
            <w:pPr>
              <w:spacing w:after="0"/>
              <w:jc w:val="right"/>
              <w:rPr>
                <w:color w:val="595959" w:themeColor="text1" w:themeTint="A6"/>
                <w:sz w:val="18"/>
                <w:szCs w:val="18"/>
                <w:lang w:val="en-NZ" w:eastAsia="en-NZ"/>
              </w:rPr>
            </w:pPr>
          </w:p>
        </w:tc>
      </w:tr>
    </w:tbl>
    <w:p w14:paraId="5F437CF4" w14:textId="77777777" w:rsidR="009A19B3" w:rsidRDefault="009A19B3" w:rsidP="00317C8E">
      <w:pPr>
        <w:spacing w:before="60" w:line="240" w:lineRule="auto"/>
      </w:pPr>
      <w:r w:rsidRPr="00482953">
        <w:rPr>
          <w:b/>
          <w:sz w:val="18"/>
        </w:rPr>
        <w:t>Note</w:t>
      </w:r>
      <w:r>
        <w:rPr>
          <w:b/>
          <w:sz w:val="18"/>
        </w:rPr>
        <w:t>s</w:t>
      </w:r>
      <w:r w:rsidRPr="00827D51">
        <w:rPr>
          <w:sz w:val="18"/>
        </w:rPr>
        <w:t>:</w:t>
      </w:r>
      <w:r>
        <w:rPr>
          <w:sz w:val="18"/>
        </w:rPr>
        <w:t xml:space="preserve"> *The previously approved business case (a Detailed BC or a Single-stage BC).</w:t>
      </w:r>
    </w:p>
    <w:p w14:paraId="739CA502" w14:textId="77777777" w:rsidR="00283CDD" w:rsidRPr="00317C8E" w:rsidRDefault="005E212D" w:rsidP="006A024A">
      <w:pPr>
        <w:keepNext/>
        <w:spacing w:line="240" w:lineRule="atLeast"/>
        <w:rPr>
          <w:rStyle w:val="Emphasis"/>
          <w:i w:val="0"/>
          <w:iCs w:val="0"/>
          <w:sz w:val="22"/>
          <w:szCs w:val="22"/>
        </w:rPr>
      </w:pPr>
      <w:r w:rsidRPr="00317C8E">
        <w:rPr>
          <w:rStyle w:val="Emphasis"/>
          <w:i w:val="0"/>
          <w:sz w:val="22"/>
          <w:szCs w:val="22"/>
        </w:rPr>
        <w:t>Following selection of the preferred supplier</w:t>
      </w:r>
      <w:r w:rsidR="00590390" w:rsidRPr="00317C8E">
        <w:rPr>
          <w:rStyle w:val="Emphasis"/>
          <w:i w:val="0"/>
          <w:sz w:val="22"/>
          <w:szCs w:val="22"/>
        </w:rPr>
        <w:t>/</w:t>
      </w:r>
      <w:r w:rsidRPr="00317C8E">
        <w:rPr>
          <w:rStyle w:val="Emphasis"/>
          <w:i w:val="0"/>
          <w:sz w:val="22"/>
          <w:szCs w:val="22"/>
        </w:rPr>
        <w:t xml:space="preserve">s, </w:t>
      </w:r>
      <w:r w:rsidR="00590390" w:rsidRPr="00317C8E">
        <w:rPr>
          <w:szCs w:val="22"/>
        </w:rPr>
        <w:t xml:space="preserve">the </w:t>
      </w:r>
      <w:r w:rsidR="000C3827" w:rsidRPr="00317C8E">
        <w:rPr>
          <w:rStyle w:val="Emphasis"/>
          <w:i w:val="0"/>
          <w:sz w:val="22"/>
          <w:szCs w:val="22"/>
        </w:rPr>
        <w:t xml:space="preserve">proposed capital and operating costs over the expected lifespan of the project have been updated. </w:t>
      </w:r>
      <w:r w:rsidR="007C273F" w:rsidRPr="00317C8E">
        <w:rPr>
          <w:rStyle w:val="Emphasis"/>
          <w:i w:val="0"/>
          <w:sz w:val="22"/>
          <w:szCs w:val="22"/>
        </w:rPr>
        <w:t xml:space="preserve"> </w:t>
      </w:r>
      <w:r w:rsidR="000C3827" w:rsidRPr="00317C8E">
        <w:rPr>
          <w:szCs w:val="22"/>
        </w:rPr>
        <w:t>Financial modelling of the</w:t>
      </w:r>
      <w:r w:rsidR="00D33746" w:rsidRPr="00317C8E">
        <w:rPr>
          <w:szCs w:val="22"/>
        </w:rPr>
        <w:t xml:space="preserve"> </w:t>
      </w:r>
      <w:r w:rsidR="000C3827" w:rsidRPr="00317C8E">
        <w:rPr>
          <w:szCs w:val="22"/>
        </w:rPr>
        <w:t xml:space="preserve">proposed investment </w:t>
      </w:r>
      <w:r w:rsidR="00001FD6" w:rsidRPr="00317C8E">
        <w:rPr>
          <w:szCs w:val="22"/>
        </w:rPr>
        <w:t xml:space="preserve">(project costs) </w:t>
      </w:r>
      <w:r w:rsidR="000C3827" w:rsidRPr="00317C8E">
        <w:rPr>
          <w:szCs w:val="22"/>
        </w:rPr>
        <w:t>and other operating costs and benefits (changes to revenues and expenses) are summarised as follows:</w:t>
      </w:r>
      <w:r w:rsidRPr="00317C8E">
        <w:rPr>
          <w:rStyle w:val="Emphasis"/>
          <w:i w:val="0"/>
          <w:sz w:val="22"/>
          <w:szCs w:val="22"/>
        </w:rPr>
        <w:t xml:space="preserve"> </w:t>
      </w:r>
    </w:p>
    <w:p w14:paraId="33A8FC5D" w14:textId="1111559A" w:rsidR="00F26D2B" w:rsidRPr="00F26D2B" w:rsidRDefault="005E212D" w:rsidP="00414BEF">
      <w:pPr>
        <w:pStyle w:val="TableHeading1"/>
        <w:spacing w:after="60" w:line="240" w:lineRule="auto"/>
        <w:rPr>
          <w:b w:val="0"/>
        </w:rPr>
      </w:pPr>
      <w:r w:rsidRPr="00EC0F52">
        <w:t xml:space="preserve">Table </w:t>
      </w:r>
      <w:r w:rsidR="00842D30">
        <w:rPr>
          <w:shd w:val="clear" w:color="auto" w:fill="FFFF00"/>
        </w:rPr>
        <w:t>x</w:t>
      </w:r>
      <w:r w:rsidRPr="00EC0F52">
        <w:t xml:space="preserve">: </w:t>
      </w:r>
      <w:r w:rsidRPr="007C273F">
        <w:rPr>
          <w:b w:val="0"/>
        </w:rPr>
        <w:t>Financial costing table – summary</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240"/>
        <w:gridCol w:w="1186"/>
        <w:gridCol w:w="1186"/>
        <w:gridCol w:w="1186"/>
        <w:gridCol w:w="1186"/>
        <w:gridCol w:w="1186"/>
        <w:gridCol w:w="1186"/>
      </w:tblGrid>
      <w:tr w:rsidR="00864495" w:rsidRPr="00F92498" w14:paraId="12C565BA" w14:textId="77777777" w:rsidTr="00317C8E">
        <w:trPr>
          <w:tblHeader/>
        </w:trPr>
        <w:tc>
          <w:tcPr>
            <w:tcW w:w="2240" w:type="dxa"/>
            <w:shd w:val="clear" w:color="auto" w:fill="DEEAF5"/>
            <w:vAlign w:val="center"/>
          </w:tcPr>
          <w:p w14:paraId="6D6C789B" w14:textId="77777777" w:rsidR="00864495" w:rsidRPr="00F92498" w:rsidRDefault="00864495" w:rsidP="00122AD6">
            <w:pPr>
              <w:pStyle w:val="TableHeading"/>
              <w:keepNext/>
              <w:spacing w:before="40" w:after="40"/>
              <w:jc w:val="right"/>
              <w:rPr>
                <w:b w:val="0"/>
                <w:sz w:val="18"/>
                <w:szCs w:val="18"/>
              </w:rPr>
            </w:pPr>
            <w:r w:rsidRPr="00F92498">
              <w:rPr>
                <w:b w:val="0"/>
                <w:sz w:val="18"/>
                <w:szCs w:val="18"/>
              </w:rPr>
              <w:t>$m</w:t>
            </w:r>
          </w:p>
        </w:tc>
        <w:tc>
          <w:tcPr>
            <w:tcW w:w="1186" w:type="dxa"/>
            <w:shd w:val="clear" w:color="auto" w:fill="DEEAF5"/>
            <w:vAlign w:val="center"/>
          </w:tcPr>
          <w:p w14:paraId="755BB702" w14:textId="77777777" w:rsidR="00864495" w:rsidRPr="00F92498" w:rsidRDefault="007C273F" w:rsidP="00122AD6">
            <w:pPr>
              <w:pStyle w:val="TableHeading"/>
              <w:keepNext/>
              <w:spacing w:before="40" w:after="40"/>
              <w:jc w:val="center"/>
              <w:rPr>
                <w:b w:val="0"/>
                <w:sz w:val="18"/>
                <w:szCs w:val="18"/>
              </w:rPr>
            </w:pPr>
            <w:r>
              <w:rPr>
                <w:b w:val="0"/>
                <w:sz w:val="18"/>
                <w:szCs w:val="18"/>
              </w:rPr>
              <w:t>2021</w:t>
            </w:r>
            <w:r w:rsidR="00864495">
              <w:rPr>
                <w:b w:val="0"/>
                <w:sz w:val="18"/>
                <w:szCs w:val="18"/>
              </w:rPr>
              <w:t>-2</w:t>
            </w:r>
            <w:r>
              <w:rPr>
                <w:b w:val="0"/>
                <w:sz w:val="18"/>
                <w:szCs w:val="18"/>
              </w:rPr>
              <w:t>2</w:t>
            </w:r>
          </w:p>
        </w:tc>
        <w:tc>
          <w:tcPr>
            <w:tcW w:w="1186" w:type="dxa"/>
            <w:shd w:val="clear" w:color="auto" w:fill="DEEAF5"/>
            <w:vAlign w:val="center"/>
          </w:tcPr>
          <w:p w14:paraId="5A88CCB9" w14:textId="77777777" w:rsidR="00864495" w:rsidRPr="00F92498" w:rsidRDefault="00864495" w:rsidP="00122AD6">
            <w:pPr>
              <w:pStyle w:val="TableHeading"/>
              <w:keepNext/>
              <w:spacing w:before="40" w:after="40"/>
              <w:jc w:val="center"/>
              <w:rPr>
                <w:b w:val="0"/>
                <w:sz w:val="18"/>
                <w:szCs w:val="18"/>
              </w:rPr>
            </w:pPr>
            <w:r>
              <w:rPr>
                <w:b w:val="0"/>
                <w:sz w:val="18"/>
                <w:szCs w:val="18"/>
              </w:rPr>
              <w:t>202</w:t>
            </w:r>
            <w:r w:rsidR="007C273F">
              <w:rPr>
                <w:b w:val="0"/>
                <w:sz w:val="18"/>
                <w:szCs w:val="18"/>
              </w:rPr>
              <w:t>2</w:t>
            </w:r>
            <w:r>
              <w:rPr>
                <w:b w:val="0"/>
                <w:sz w:val="18"/>
                <w:szCs w:val="18"/>
              </w:rPr>
              <w:t>-2</w:t>
            </w:r>
            <w:r w:rsidR="007C273F">
              <w:rPr>
                <w:b w:val="0"/>
                <w:sz w:val="18"/>
                <w:szCs w:val="18"/>
              </w:rPr>
              <w:t>3</w:t>
            </w:r>
          </w:p>
        </w:tc>
        <w:tc>
          <w:tcPr>
            <w:tcW w:w="1186" w:type="dxa"/>
            <w:shd w:val="clear" w:color="auto" w:fill="DEEAF5"/>
            <w:vAlign w:val="center"/>
          </w:tcPr>
          <w:p w14:paraId="4D22BEEE" w14:textId="77777777" w:rsidR="00864495" w:rsidRPr="00F92498" w:rsidRDefault="00864495" w:rsidP="00122AD6">
            <w:pPr>
              <w:pStyle w:val="TableHeading"/>
              <w:keepNext/>
              <w:spacing w:before="40" w:after="40"/>
              <w:jc w:val="center"/>
              <w:rPr>
                <w:b w:val="0"/>
                <w:sz w:val="18"/>
                <w:szCs w:val="18"/>
              </w:rPr>
            </w:pPr>
            <w:r>
              <w:rPr>
                <w:b w:val="0"/>
                <w:sz w:val="18"/>
                <w:szCs w:val="18"/>
              </w:rPr>
              <w:t>202</w:t>
            </w:r>
            <w:r w:rsidR="007C273F">
              <w:rPr>
                <w:b w:val="0"/>
                <w:sz w:val="18"/>
                <w:szCs w:val="18"/>
              </w:rPr>
              <w:t>3</w:t>
            </w:r>
            <w:r>
              <w:rPr>
                <w:b w:val="0"/>
                <w:sz w:val="18"/>
                <w:szCs w:val="18"/>
              </w:rPr>
              <w:t>-2</w:t>
            </w:r>
            <w:r w:rsidR="007C273F">
              <w:rPr>
                <w:b w:val="0"/>
                <w:sz w:val="18"/>
                <w:szCs w:val="18"/>
              </w:rPr>
              <w:t>4</w:t>
            </w:r>
          </w:p>
        </w:tc>
        <w:tc>
          <w:tcPr>
            <w:tcW w:w="1186" w:type="dxa"/>
            <w:shd w:val="clear" w:color="auto" w:fill="DEEAF5"/>
            <w:vAlign w:val="center"/>
          </w:tcPr>
          <w:p w14:paraId="4903959D" w14:textId="77777777" w:rsidR="00864495" w:rsidRPr="00F92498" w:rsidRDefault="00864495" w:rsidP="00122AD6">
            <w:pPr>
              <w:pStyle w:val="TableHeading"/>
              <w:keepNext/>
              <w:spacing w:before="40" w:after="40"/>
              <w:jc w:val="center"/>
              <w:rPr>
                <w:b w:val="0"/>
                <w:sz w:val="18"/>
                <w:szCs w:val="18"/>
              </w:rPr>
            </w:pPr>
            <w:r>
              <w:rPr>
                <w:b w:val="0"/>
                <w:sz w:val="18"/>
                <w:szCs w:val="18"/>
              </w:rPr>
              <w:t>202</w:t>
            </w:r>
            <w:r w:rsidR="007C273F">
              <w:rPr>
                <w:b w:val="0"/>
                <w:sz w:val="18"/>
                <w:szCs w:val="18"/>
              </w:rPr>
              <w:t>4</w:t>
            </w:r>
            <w:r>
              <w:rPr>
                <w:b w:val="0"/>
                <w:sz w:val="18"/>
                <w:szCs w:val="18"/>
              </w:rPr>
              <w:t>-2</w:t>
            </w:r>
            <w:r w:rsidR="007C273F">
              <w:rPr>
                <w:b w:val="0"/>
                <w:sz w:val="18"/>
                <w:szCs w:val="18"/>
              </w:rPr>
              <w:t>5</w:t>
            </w:r>
          </w:p>
        </w:tc>
        <w:tc>
          <w:tcPr>
            <w:tcW w:w="1186" w:type="dxa"/>
            <w:shd w:val="clear" w:color="auto" w:fill="DEEAF5"/>
            <w:vAlign w:val="center"/>
          </w:tcPr>
          <w:p w14:paraId="298F8A1E" w14:textId="77777777" w:rsidR="00864495" w:rsidRPr="00F92498" w:rsidRDefault="00864495" w:rsidP="00122AD6">
            <w:pPr>
              <w:pStyle w:val="TableHeading"/>
              <w:keepNext/>
              <w:spacing w:before="40" w:after="40"/>
              <w:jc w:val="center"/>
              <w:rPr>
                <w:b w:val="0"/>
                <w:sz w:val="18"/>
                <w:szCs w:val="18"/>
              </w:rPr>
            </w:pPr>
            <w:r w:rsidRPr="00F92498">
              <w:rPr>
                <w:b w:val="0"/>
                <w:sz w:val="18"/>
                <w:szCs w:val="18"/>
              </w:rPr>
              <w:t>……..</w:t>
            </w:r>
          </w:p>
        </w:tc>
        <w:tc>
          <w:tcPr>
            <w:tcW w:w="1186" w:type="dxa"/>
            <w:shd w:val="clear" w:color="auto" w:fill="DEEAF5"/>
            <w:vAlign w:val="center"/>
          </w:tcPr>
          <w:p w14:paraId="02B271D3" w14:textId="77777777" w:rsidR="00864495" w:rsidRPr="00F92498" w:rsidRDefault="00864495" w:rsidP="00122AD6">
            <w:pPr>
              <w:pStyle w:val="TableHeading"/>
              <w:keepNext/>
              <w:spacing w:before="40" w:after="40"/>
              <w:jc w:val="center"/>
              <w:rPr>
                <w:b w:val="0"/>
                <w:sz w:val="18"/>
                <w:szCs w:val="18"/>
              </w:rPr>
            </w:pPr>
            <w:r w:rsidRPr="00F92498">
              <w:rPr>
                <w:b w:val="0"/>
                <w:sz w:val="18"/>
                <w:szCs w:val="18"/>
              </w:rPr>
              <w:t>Total</w:t>
            </w:r>
          </w:p>
        </w:tc>
      </w:tr>
      <w:tr w:rsidR="00864495" w:rsidRPr="009E4F10" w14:paraId="50DB182A" w14:textId="77777777" w:rsidTr="00317C8E">
        <w:trPr>
          <w:trHeight w:val="283"/>
        </w:trPr>
        <w:tc>
          <w:tcPr>
            <w:tcW w:w="9356" w:type="dxa"/>
            <w:gridSpan w:val="7"/>
            <w:shd w:val="clear" w:color="auto" w:fill="DEEAF5"/>
            <w:vAlign w:val="center"/>
          </w:tcPr>
          <w:p w14:paraId="39DC3B48" w14:textId="77777777" w:rsidR="00864495" w:rsidRPr="009E4F10" w:rsidRDefault="00864495" w:rsidP="00122AD6">
            <w:pPr>
              <w:pStyle w:val="TableText"/>
              <w:keepNext/>
              <w:spacing w:before="40" w:after="40"/>
              <w:rPr>
                <w:color w:val="002060"/>
              </w:rPr>
            </w:pPr>
            <w:r>
              <w:rPr>
                <w:color w:val="002060"/>
              </w:rPr>
              <w:t xml:space="preserve">Proposed </w:t>
            </w:r>
            <w:r w:rsidRPr="009C3010">
              <w:rPr>
                <w:color w:val="002060"/>
                <w:u w:val="single"/>
              </w:rPr>
              <w:t>investment</w:t>
            </w:r>
            <w:r w:rsidRPr="009E4F10">
              <w:rPr>
                <w:color w:val="002060"/>
              </w:rPr>
              <w:t>:</w:t>
            </w:r>
          </w:p>
        </w:tc>
      </w:tr>
      <w:tr w:rsidR="00864495" w:rsidRPr="00CC1667" w14:paraId="2BCC2D37" w14:textId="77777777" w:rsidTr="00317C8E">
        <w:tc>
          <w:tcPr>
            <w:tcW w:w="2240" w:type="dxa"/>
            <w:shd w:val="clear" w:color="auto" w:fill="DEEAF5"/>
            <w:vAlign w:val="center"/>
          </w:tcPr>
          <w:p w14:paraId="003AE964" w14:textId="1FFEFEEF" w:rsidR="00864495" w:rsidRPr="00486BC3" w:rsidRDefault="00864495" w:rsidP="00122AD6">
            <w:pPr>
              <w:keepNext/>
              <w:spacing w:before="40" w:after="40" w:line="240" w:lineRule="atLeast"/>
              <w:rPr>
                <w:sz w:val="18"/>
              </w:rPr>
            </w:pPr>
            <w:r w:rsidRPr="00486BC3">
              <w:rPr>
                <w:sz w:val="18"/>
              </w:rPr>
              <w:t xml:space="preserve">Capital </w:t>
            </w:r>
            <w:r w:rsidR="00495928">
              <w:rPr>
                <w:sz w:val="18"/>
              </w:rPr>
              <w:t xml:space="preserve">from </w:t>
            </w:r>
            <w:r>
              <w:rPr>
                <w:sz w:val="18"/>
              </w:rPr>
              <w:t>baseline*</w:t>
            </w:r>
          </w:p>
        </w:tc>
        <w:tc>
          <w:tcPr>
            <w:tcW w:w="1186" w:type="dxa"/>
            <w:tcBorders>
              <w:bottom w:val="single" w:sz="4" w:space="0" w:color="DDDDDD"/>
            </w:tcBorders>
            <w:vAlign w:val="center"/>
          </w:tcPr>
          <w:p w14:paraId="6F18448B"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110A7093" w14:textId="77777777" w:rsidR="00864495" w:rsidRPr="009911C3" w:rsidRDefault="00864495" w:rsidP="00122AD6">
            <w:pPr>
              <w:pStyle w:val="TableText"/>
              <w:keepNext/>
              <w:spacing w:before="40" w:after="40"/>
              <w:jc w:val="right"/>
            </w:pPr>
          </w:p>
        </w:tc>
        <w:tc>
          <w:tcPr>
            <w:tcW w:w="1186" w:type="dxa"/>
            <w:vAlign w:val="center"/>
          </w:tcPr>
          <w:p w14:paraId="588D84CD" w14:textId="77777777" w:rsidR="00864495" w:rsidRPr="009911C3" w:rsidRDefault="00864495" w:rsidP="00122AD6">
            <w:pPr>
              <w:pStyle w:val="TableText"/>
              <w:keepNext/>
              <w:spacing w:before="40" w:after="40"/>
              <w:jc w:val="right"/>
            </w:pPr>
          </w:p>
        </w:tc>
        <w:tc>
          <w:tcPr>
            <w:tcW w:w="1186" w:type="dxa"/>
            <w:vAlign w:val="center"/>
          </w:tcPr>
          <w:p w14:paraId="482C9EAA" w14:textId="77777777" w:rsidR="00864495" w:rsidRPr="009911C3" w:rsidRDefault="00864495" w:rsidP="00122AD6">
            <w:pPr>
              <w:pStyle w:val="TableText"/>
              <w:keepNext/>
              <w:spacing w:before="40" w:after="40"/>
              <w:jc w:val="right"/>
            </w:pPr>
          </w:p>
        </w:tc>
        <w:tc>
          <w:tcPr>
            <w:tcW w:w="1186" w:type="dxa"/>
            <w:vAlign w:val="center"/>
          </w:tcPr>
          <w:p w14:paraId="72CFB2B3" w14:textId="77777777" w:rsidR="00864495" w:rsidRPr="009911C3" w:rsidRDefault="00864495" w:rsidP="00122AD6">
            <w:pPr>
              <w:pStyle w:val="TableText"/>
              <w:keepNext/>
              <w:spacing w:before="40" w:after="40"/>
              <w:jc w:val="right"/>
            </w:pPr>
          </w:p>
        </w:tc>
        <w:tc>
          <w:tcPr>
            <w:tcW w:w="1186" w:type="dxa"/>
            <w:vAlign w:val="center"/>
          </w:tcPr>
          <w:p w14:paraId="25078027" w14:textId="77777777" w:rsidR="00864495" w:rsidRPr="009911C3" w:rsidRDefault="00864495" w:rsidP="00122AD6">
            <w:pPr>
              <w:pStyle w:val="TableText"/>
              <w:keepNext/>
              <w:spacing w:before="40" w:after="40"/>
              <w:jc w:val="right"/>
            </w:pPr>
          </w:p>
        </w:tc>
      </w:tr>
      <w:tr w:rsidR="00864495" w:rsidRPr="00CC1667" w14:paraId="4D20749F" w14:textId="77777777" w:rsidTr="00317C8E">
        <w:tc>
          <w:tcPr>
            <w:tcW w:w="2240" w:type="dxa"/>
            <w:shd w:val="clear" w:color="auto" w:fill="DEEAF5"/>
            <w:vAlign w:val="center"/>
          </w:tcPr>
          <w:p w14:paraId="52EF50AD" w14:textId="77777777" w:rsidR="00864495" w:rsidRPr="00E54AE4" w:rsidRDefault="00864495" w:rsidP="00122AD6">
            <w:pPr>
              <w:keepNext/>
              <w:spacing w:before="40" w:after="40" w:line="240" w:lineRule="atLeast"/>
              <w:rPr>
                <w:sz w:val="18"/>
              </w:rPr>
            </w:pPr>
            <w:r w:rsidRPr="00E54AE4">
              <w:rPr>
                <w:sz w:val="18"/>
              </w:rPr>
              <w:t>Capital required</w:t>
            </w:r>
          </w:p>
        </w:tc>
        <w:tc>
          <w:tcPr>
            <w:tcW w:w="1186" w:type="dxa"/>
            <w:vAlign w:val="center"/>
          </w:tcPr>
          <w:p w14:paraId="41F6D171" w14:textId="77777777" w:rsidR="00864495" w:rsidRPr="009911C3" w:rsidRDefault="00864495" w:rsidP="00122AD6">
            <w:pPr>
              <w:pStyle w:val="TableText"/>
              <w:keepNext/>
              <w:spacing w:before="40" w:after="40"/>
              <w:jc w:val="right"/>
            </w:pPr>
          </w:p>
        </w:tc>
        <w:tc>
          <w:tcPr>
            <w:tcW w:w="1186" w:type="dxa"/>
            <w:vAlign w:val="center"/>
          </w:tcPr>
          <w:p w14:paraId="34CDB8AA" w14:textId="77777777" w:rsidR="00864495" w:rsidRPr="009911C3" w:rsidRDefault="00864495" w:rsidP="00122AD6">
            <w:pPr>
              <w:pStyle w:val="TableText"/>
              <w:keepNext/>
              <w:spacing w:before="40" w:after="40"/>
              <w:jc w:val="right"/>
            </w:pPr>
          </w:p>
        </w:tc>
        <w:tc>
          <w:tcPr>
            <w:tcW w:w="1186" w:type="dxa"/>
            <w:vAlign w:val="center"/>
          </w:tcPr>
          <w:p w14:paraId="533218B7" w14:textId="77777777" w:rsidR="00864495" w:rsidRPr="009911C3" w:rsidRDefault="00864495" w:rsidP="00122AD6">
            <w:pPr>
              <w:pStyle w:val="TableText"/>
              <w:keepNext/>
              <w:spacing w:before="40" w:after="40"/>
              <w:jc w:val="right"/>
            </w:pPr>
          </w:p>
        </w:tc>
        <w:tc>
          <w:tcPr>
            <w:tcW w:w="1186" w:type="dxa"/>
            <w:vAlign w:val="center"/>
          </w:tcPr>
          <w:p w14:paraId="43EAFED8" w14:textId="77777777" w:rsidR="00864495" w:rsidRPr="009911C3" w:rsidRDefault="00864495" w:rsidP="00122AD6">
            <w:pPr>
              <w:pStyle w:val="TableText"/>
              <w:keepNext/>
              <w:spacing w:before="40" w:after="40"/>
              <w:jc w:val="right"/>
            </w:pPr>
          </w:p>
        </w:tc>
        <w:tc>
          <w:tcPr>
            <w:tcW w:w="1186" w:type="dxa"/>
            <w:vAlign w:val="center"/>
          </w:tcPr>
          <w:p w14:paraId="293F808F" w14:textId="77777777" w:rsidR="00864495" w:rsidRPr="009911C3" w:rsidRDefault="00864495" w:rsidP="00122AD6">
            <w:pPr>
              <w:pStyle w:val="TableText"/>
              <w:keepNext/>
              <w:spacing w:before="40" w:after="40"/>
              <w:jc w:val="right"/>
            </w:pPr>
          </w:p>
        </w:tc>
        <w:tc>
          <w:tcPr>
            <w:tcW w:w="1186" w:type="dxa"/>
            <w:vAlign w:val="center"/>
          </w:tcPr>
          <w:p w14:paraId="0433AA7F" w14:textId="77777777" w:rsidR="00864495" w:rsidRPr="009911C3" w:rsidRDefault="00864495" w:rsidP="00122AD6">
            <w:pPr>
              <w:pStyle w:val="TableText"/>
              <w:keepNext/>
              <w:spacing w:before="40" w:after="40"/>
              <w:jc w:val="right"/>
            </w:pPr>
          </w:p>
        </w:tc>
      </w:tr>
      <w:tr w:rsidR="00864495" w:rsidRPr="00CC1667" w14:paraId="6B869EB2" w14:textId="77777777" w:rsidTr="00317C8E">
        <w:tc>
          <w:tcPr>
            <w:tcW w:w="2240" w:type="dxa"/>
            <w:shd w:val="clear" w:color="auto" w:fill="DEEAF5"/>
            <w:vAlign w:val="center"/>
          </w:tcPr>
          <w:p w14:paraId="7126D139" w14:textId="17736CAA" w:rsidR="00864495" w:rsidRPr="00E54AE4" w:rsidRDefault="00864495" w:rsidP="006C5F00">
            <w:pPr>
              <w:keepNext/>
              <w:spacing w:before="40" w:after="40" w:line="240" w:lineRule="atLeast"/>
              <w:rPr>
                <w:sz w:val="18"/>
              </w:rPr>
            </w:pPr>
            <w:proofErr w:type="spellStart"/>
            <w:r w:rsidRPr="00E54AE4">
              <w:rPr>
                <w:sz w:val="18"/>
              </w:rPr>
              <w:t>Ope</w:t>
            </w:r>
            <w:r w:rsidR="006C5F00">
              <w:rPr>
                <w:sz w:val="18"/>
              </w:rPr>
              <w:t>x</w:t>
            </w:r>
            <w:proofErr w:type="spellEnd"/>
            <w:r w:rsidR="006C5F00">
              <w:rPr>
                <w:sz w:val="18"/>
              </w:rPr>
              <w:t xml:space="preserve"> from</w:t>
            </w:r>
            <w:r w:rsidRPr="00E54AE4">
              <w:rPr>
                <w:sz w:val="18"/>
              </w:rPr>
              <w:t xml:space="preserve"> baseline</w:t>
            </w:r>
          </w:p>
        </w:tc>
        <w:tc>
          <w:tcPr>
            <w:tcW w:w="1186" w:type="dxa"/>
            <w:tcBorders>
              <w:bottom w:val="single" w:sz="4" w:space="0" w:color="DDDDDD"/>
            </w:tcBorders>
            <w:vAlign w:val="center"/>
          </w:tcPr>
          <w:p w14:paraId="79357343"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1293BF6A"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4922F28A"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5CBF7857"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38788423"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02720717" w14:textId="77777777" w:rsidR="00864495" w:rsidRPr="009911C3" w:rsidRDefault="00864495" w:rsidP="00122AD6">
            <w:pPr>
              <w:pStyle w:val="TableText"/>
              <w:keepNext/>
              <w:spacing w:before="40" w:after="40"/>
              <w:jc w:val="right"/>
            </w:pPr>
          </w:p>
        </w:tc>
      </w:tr>
      <w:tr w:rsidR="00864495" w:rsidRPr="00CC1667" w14:paraId="074E8E0E" w14:textId="77777777" w:rsidTr="00317C8E">
        <w:tc>
          <w:tcPr>
            <w:tcW w:w="2240" w:type="dxa"/>
            <w:tcBorders>
              <w:bottom w:val="single" w:sz="12" w:space="0" w:color="DDDDDD"/>
            </w:tcBorders>
            <w:shd w:val="clear" w:color="auto" w:fill="DEEAF5"/>
            <w:vAlign w:val="center"/>
          </w:tcPr>
          <w:p w14:paraId="26830C5A" w14:textId="421C834F" w:rsidR="00864495" w:rsidRPr="00E54AE4" w:rsidRDefault="00864495" w:rsidP="006C5F00">
            <w:pPr>
              <w:keepNext/>
              <w:spacing w:before="40" w:after="40" w:line="240" w:lineRule="atLeast"/>
              <w:rPr>
                <w:sz w:val="18"/>
              </w:rPr>
            </w:pPr>
            <w:proofErr w:type="spellStart"/>
            <w:r>
              <w:rPr>
                <w:sz w:val="18"/>
              </w:rPr>
              <w:t>Ope</w:t>
            </w:r>
            <w:r w:rsidR="006C5F00">
              <w:rPr>
                <w:sz w:val="18"/>
              </w:rPr>
              <w:t>x</w:t>
            </w:r>
            <w:proofErr w:type="spellEnd"/>
            <w:r w:rsidRPr="00E54AE4">
              <w:rPr>
                <w:sz w:val="18"/>
              </w:rPr>
              <w:t xml:space="preserve"> required</w:t>
            </w:r>
            <w:r>
              <w:rPr>
                <w:sz w:val="18"/>
              </w:rPr>
              <w:t>^</w:t>
            </w:r>
          </w:p>
        </w:tc>
        <w:tc>
          <w:tcPr>
            <w:tcW w:w="1186" w:type="dxa"/>
            <w:tcBorders>
              <w:bottom w:val="single" w:sz="12" w:space="0" w:color="DDDDDD"/>
            </w:tcBorders>
            <w:vAlign w:val="center"/>
          </w:tcPr>
          <w:p w14:paraId="0C7DA2A7"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4AD59EDC"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003C2EA0"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1FD5554B"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5635D552"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6A45800E" w14:textId="77777777" w:rsidR="00864495" w:rsidRPr="009911C3" w:rsidRDefault="00864495" w:rsidP="00122AD6">
            <w:pPr>
              <w:pStyle w:val="TableText"/>
              <w:keepNext/>
              <w:spacing w:before="40" w:after="40"/>
              <w:jc w:val="right"/>
            </w:pPr>
          </w:p>
        </w:tc>
      </w:tr>
      <w:tr w:rsidR="00864495" w:rsidRPr="00CC1667" w14:paraId="1A813933" w14:textId="77777777" w:rsidTr="00317C8E">
        <w:trPr>
          <w:trHeight w:val="283"/>
        </w:trPr>
        <w:tc>
          <w:tcPr>
            <w:tcW w:w="2240" w:type="dxa"/>
            <w:tcBorders>
              <w:top w:val="single" w:sz="12" w:space="0" w:color="DDDDDD"/>
            </w:tcBorders>
            <w:shd w:val="clear" w:color="auto" w:fill="DEEAF5"/>
            <w:vAlign w:val="center"/>
          </w:tcPr>
          <w:p w14:paraId="6BAC50F4" w14:textId="77777777" w:rsidR="00864495" w:rsidRPr="00486BC3" w:rsidRDefault="00864495" w:rsidP="00122AD6">
            <w:pPr>
              <w:keepNext/>
              <w:spacing w:before="40" w:after="40" w:line="240" w:lineRule="atLeast"/>
              <w:rPr>
                <w:sz w:val="18"/>
              </w:rPr>
            </w:pPr>
            <w:r>
              <w:rPr>
                <w:sz w:val="18"/>
              </w:rPr>
              <w:t>Total Investment</w:t>
            </w:r>
          </w:p>
        </w:tc>
        <w:tc>
          <w:tcPr>
            <w:tcW w:w="1186" w:type="dxa"/>
            <w:tcBorders>
              <w:top w:val="single" w:sz="12" w:space="0" w:color="DDDDDD"/>
            </w:tcBorders>
            <w:shd w:val="clear" w:color="auto" w:fill="F2F2F2"/>
            <w:vAlign w:val="center"/>
          </w:tcPr>
          <w:p w14:paraId="4CAA7E60" w14:textId="77777777" w:rsidR="00864495" w:rsidRPr="009911C3" w:rsidRDefault="00864495" w:rsidP="00122AD6">
            <w:pPr>
              <w:pStyle w:val="TableText"/>
              <w:spacing w:before="40" w:after="40"/>
              <w:jc w:val="right"/>
            </w:pPr>
          </w:p>
        </w:tc>
        <w:tc>
          <w:tcPr>
            <w:tcW w:w="1186" w:type="dxa"/>
            <w:tcBorders>
              <w:top w:val="single" w:sz="12" w:space="0" w:color="DDDDDD"/>
            </w:tcBorders>
            <w:shd w:val="clear" w:color="auto" w:fill="F2F2F2"/>
            <w:vAlign w:val="center"/>
          </w:tcPr>
          <w:p w14:paraId="43BF0BB5" w14:textId="77777777" w:rsidR="00864495" w:rsidRPr="009911C3" w:rsidRDefault="00864495" w:rsidP="00122AD6">
            <w:pPr>
              <w:pStyle w:val="TableText"/>
              <w:spacing w:before="40" w:after="40"/>
              <w:jc w:val="right"/>
            </w:pPr>
          </w:p>
        </w:tc>
        <w:tc>
          <w:tcPr>
            <w:tcW w:w="1186" w:type="dxa"/>
            <w:tcBorders>
              <w:top w:val="single" w:sz="12" w:space="0" w:color="DDDDDD"/>
            </w:tcBorders>
            <w:shd w:val="clear" w:color="auto" w:fill="F2F2F2"/>
            <w:vAlign w:val="center"/>
          </w:tcPr>
          <w:p w14:paraId="1330E8A3" w14:textId="77777777" w:rsidR="00864495" w:rsidRPr="009911C3" w:rsidRDefault="00864495" w:rsidP="00122AD6">
            <w:pPr>
              <w:pStyle w:val="TableText"/>
              <w:spacing w:before="40" w:after="40"/>
              <w:jc w:val="right"/>
            </w:pPr>
          </w:p>
        </w:tc>
        <w:tc>
          <w:tcPr>
            <w:tcW w:w="1186" w:type="dxa"/>
            <w:tcBorders>
              <w:top w:val="single" w:sz="12" w:space="0" w:color="DDDDDD"/>
            </w:tcBorders>
            <w:shd w:val="clear" w:color="auto" w:fill="F2F2F2"/>
            <w:vAlign w:val="center"/>
          </w:tcPr>
          <w:p w14:paraId="56596C70" w14:textId="77777777" w:rsidR="00864495" w:rsidRPr="009911C3" w:rsidRDefault="00864495" w:rsidP="00122AD6">
            <w:pPr>
              <w:pStyle w:val="TableText"/>
              <w:spacing w:before="40" w:after="40"/>
              <w:jc w:val="right"/>
            </w:pPr>
          </w:p>
        </w:tc>
        <w:tc>
          <w:tcPr>
            <w:tcW w:w="1186" w:type="dxa"/>
            <w:tcBorders>
              <w:top w:val="single" w:sz="12" w:space="0" w:color="DDDDDD"/>
            </w:tcBorders>
            <w:shd w:val="clear" w:color="auto" w:fill="F2F2F2"/>
            <w:vAlign w:val="center"/>
          </w:tcPr>
          <w:p w14:paraId="3FA1D982" w14:textId="77777777" w:rsidR="00864495" w:rsidRPr="009911C3" w:rsidRDefault="00864495" w:rsidP="00122AD6">
            <w:pPr>
              <w:pStyle w:val="TableText"/>
              <w:spacing w:before="40" w:after="40"/>
              <w:jc w:val="right"/>
            </w:pPr>
          </w:p>
        </w:tc>
        <w:tc>
          <w:tcPr>
            <w:tcW w:w="1186" w:type="dxa"/>
            <w:tcBorders>
              <w:top w:val="single" w:sz="12" w:space="0" w:color="DDDDDD"/>
            </w:tcBorders>
            <w:shd w:val="clear" w:color="auto" w:fill="F2F2F2"/>
            <w:vAlign w:val="center"/>
          </w:tcPr>
          <w:p w14:paraId="3F221B61" w14:textId="77777777" w:rsidR="00864495" w:rsidRPr="009911C3" w:rsidRDefault="00864495" w:rsidP="00122AD6">
            <w:pPr>
              <w:pStyle w:val="TableText"/>
              <w:spacing w:before="40" w:after="40"/>
              <w:jc w:val="right"/>
            </w:pPr>
          </w:p>
        </w:tc>
      </w:tr>
      <w:tr w:rsidR="00864495" w:rsidRPr="009E4F10" w14:paraId="344AEE31" w14:textId="77777777" w:rsidTr="00317C8E">
        <w:trPr>
          <w:trHeight w:val="283"/>
        </w:trPr>
        <w:tc>
          <w:tcPr>
            <w:tcW w:w="9356" w:type="dxa"/>
            <w:gridSpan w:val="7"/>
            <w:shd w:val="clear" w:color="auto" w:fill="DEEAF5"/>
            <w:vAlign w:val="center"/>
          </w:tcPr>
          <w:p w14:paraId="6A7C0EA6" w14:textId="77777777" w:rsidR="00864495" w:rsidRPr="009E4F10" w:rsidRDefault="00864495" w:rsidP="00122AD6">
            <w:pPr>
              <w:pStyle w:val="TableText"/>
              <w:keepNext/>
              <w:spacing w:before="40" w:after="40"/>
              <w:rPr>
                <w:color w:val="002060"/>
              </w:rPr>
            </w:pPr>
            <w:r w:rsidRPr="00D362C3">
              <w:rPr>
                <w:color w:val="002060"/>
                <w:u w:val="single"/>
              </w:rPr>
              <w:t>Changes</w:t>
            </w:r>
            <w:r>
              <w:rPr>
                <w:color w:val="002060"/>
              </w:rPr>
              <w:t xml:space="preserve"> to revenues and </w:t>
            </w:r>
            <w:r w:rsidR="009C3010">
              <w:rPr>
                <w:color w:val="002060"/>
              </w:rPr>
              <w:t xml:space="preserve">ongoing </w:t>
            </w:r>
            <w:r>
              <w:rPr>
                <w:color w:val="002060"/>
              </w:rPr>
              <w:t>operating costs</w:t>
            </w:r>
            <w:r w:rsidRPr="009E4F10">
              <w:rPr>
                <w:color w:val="002060"/>
              </w:rPr>
              <w:t>:</w:t>
            </w:r>
          </w:p>
        </w:tc>
      </w:tr>
      <w:tr w:rsidR="00864495" w:rsidRPr="00CC1667" w14:paraId="721D9870" w14:textId="77777777" w:rsidTr="00317C8E">
        <w:tc>
          <w:tcPr>
            <w:tcW w:w="2240" w:type="dxa"/>
            <w:shd w:val="clear" w:color="auto" w:fill="DEEAF5"/>
            <w:vAlign w:val="center"/>
          </w:tcPr>
          <w:p w14:paraId="39A09941" w14:textId="77777777" w:rsidR="00864495" w:rsidRPr="00E54AE4" w:rsidRDefault="00864495" w:rsidP="00122AD6">
            <w:pPr>
              <w:keepNext/>
              <w:spacing w:before="40" w:after="40" w:line="240" w:lineRule="atLeast"/>
              <w:rPr>
                <w:sz w:val="18"/>
              </w:rPr>
            </w:pPr>
            <w:r>
              <w:rPr>
                <w:sz w:val="18"/>
              </w:rPr>
              <w:t>Revenue baseline</w:t>
            </w:r>
            <w:r w:rsidRPr="009F324A">
              <w:rPr>
                <w:sz w:val="18"/>
                <w:vertAlign w:val="superscript"/>
              </w:rPr>
              <w:t>#</w:t>
            </w:r>
          </w:p>
        </w:tc>
        <w:tc>
          <w:tcPr>
            <w:tcW w:w="1186" w:type="dxa"/>
            <w:tcBorders>
              <w:bottom w:val="single" w:sz="4" w:space="0" w:color="DDDDDD"/>
            </w:tcBorders>
            <w:vAlign w:val="center"/>
          </w:tcPr>
          <w:p w14:paraId="61242914"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4348D5A2"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5C387ADF"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7DCEA0BD"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7AF969CB"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4D5C89C1" w14:textId="77777777" w:rsidR="00864495" w:rsidRPr="009911C3" w:rsidRDefault="00864495" w:rsidP="00122AD6">
            <w:pPr>
              <w:pStyle w:val="TableText"/>
              <w:keepNext/>
              <w:spacing w:before="40" w:after="40"/>
              <w:jc w:val="right"/>
            </w:pPr>
          </w:p>
        </w:tc>
      </w:tr>
      <w:tr w:rsidR="00864495" w:rsidRPr="00CC1667" w14:paraId="4F7448DE" w14:textId="77777777" w:rsidTr="00317C8E">
        <w:tc>
          <w:tcPr>
            <w:tcW w:w="2240" w:type="dxa"/>
            <w:shd w:val="clear" w:color="auto" w:fill="DEEAF5"/>
            <w:vAlign w:val="center"/>
          </w:tcPr>
          <w:p w14:paraId="746DED08" w14:textId="77777777" w:rsidR="00864495" w:rsidRDefault="00864495" w:rsidP="00122AD6">
            <w:pPr>
              <w:keepNext/>
              <w:spacing w:before="40" w:after="40" w:line="240" w:lineRule="atLeast"/>
              <w:rPr>
                <w:sz w:val="18"/>
              </w:rPr>
            </w:pPr>
            <w:r>
              <w:rPr>
                <w:sz w:val="18"/>
              </w:rPr>
              <w:t>Revenue other</w:t>
            </w:r>
          </w:p>
        </w:tc>
        <w:tc>
          <w:tcPr>
            <w:tcW w:w="1186" w:type="dxa"/>
            <w:tcBorders>
              <w:bottom w:val="single" w:sz="4" w:space="0" w:color="DDDDDD"/>
            </w:tcBorders>
            <w:vAlign w:val="center"/>
          </w:tcPr>
          <w:p w14:paraId="382B3EEC"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6E19B6AD"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6B820DF8"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775EDE7F"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0D8AB4A3"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1D40867E" w14:textId="77777777" w:rsidR="00864495" w:rsidRPr="009911C3" w:rsidRDefault="00864495" w:rsidP="00122AD6">
            <w:pPr>
              <w:pStyle w:val="TableText"/>
              <w:keepNext/>
              <w:spacing w:before="40" w:after="40"/>
              <w:jc w:val="right"/>
            </w:pPr>
          </w:p>
        </w:tc>
      </w:tr>
      <w:tr w:rsidR="00864495" w:rsidRPr="00CC1667" w14:paraId="435E6283" w14:textId="77777777" w:rsidTr="00317C8E">
        <w:tc>
          <w:tcPr>
            <w:tcW w:w="2240" w:type="dxa"/>
            <w:tcBorders>
              <w:bottom w:val="single" w:sz="12" w:space="0" w:color="DDDDDD"/>
            </w:tcBorders>
            <w:shd w:val="clear" w:color="auto" w:fill="DEEAF5"/>
            <w:vAlign w:val="center"/>
          </w:tcPr>
          <w:p w14:paraId="3B1C5639" w14:textId="77777777" w:rsidR="00864495" w:rsidRPr="00E54AE4" w:rsidRDefault="00864495" w:rsidP="00122AD6">
            <w:pPr>
              <w:keepNext/>
              <w:spacing w:before="40" w:after="40" w:line="240" w:lineRule="atLeast"/>
              <w:rPr>
                <w:sz w:val="18"/>
              </w:rPr>
            </w:pPr>
            <w:r>
              <w:rPr>
                <w:sz w:val="18"/>
              </w:rPr>
              <w:t>Operating costs</w:t>
            </w:r>
          </w:p>
        </w:tc>
        <w:tc>
          <w:tcPr>
            <w:tcW w:w="1186" w:type="dxa"/>
            <w:tcBorders>
              <w:bottom w:val="single" w:sz="4" w:space="0" w:color="DDDDDD"/>
            </w:tcBorders>
            <w:vAlign w:val="center"/>
          </w:tcPr>
          <w:p w14:paraId="49249FEC"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1D180B0F"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3E6D0E9F"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78D6D13C"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6425E514" w14:textId="77777777" w:rsidR="00864495" w:rsidRPr="009911C3" w:rsidRDefault="00864495" w:rsidP="00122AD6">
            <w:pPr>
              <w:pStyle w:val="TableText"/>
              <w:keepNext/>
              <w:spacing w:before="40" w:after="40"/>
              <w:jc w:val="right"/>
            </w:pPr>
          </w:p>
        </w:tc>
        <w:tc>
          <w:tcPr>
            <w:tcW w:w="1186" w:type="dxa"/>
            <w:tcBorders>
              <w:bottom w:val="single" w:sz="4" w:space="0" w:color="DDDDDD"/>
            </w:tcBorders>
            <w:vAlign w:val="center"/>
          </w:tcPr>
          <w:p w14:paraId="1CD21AE4" w14:textId="77777777" w:rsidR="00864495" w:rsidRPr="009911C3" w:rsidRDefault="00864495" w:rsidP="00122AD6">
            <w:pPr>
              <w:pStyle w:val="TableText"/>
              <w:keepNext/>
              <w:spacing w:before="40" w:after="40"/>
              <w:jc w:val="right"/>
            </w:pPr>
          </w:p>
        </w:tc>
      </w:tr>
      <w:tr w:rsidR="00864495" w:rsidRPr="00CC1667" w14:paraId="640A0DB8" w14:textId="77777777" w:rsidTr="00317C8E">
        <w:tc>
          <w:tcPr>
            <w:tcW w:w="2240" w:type="dxa"/>
            <w:tcBorders>
              <w:bottom w:val="single" w:sz="12" w:space="0" w:color="DDDDDD"/>
            </w:tcBorders>
            <w:shd w:val="clear" w:color="auto" w:fill="DEEAF5"/>
            <w:vAlign w:val="center"/>
          </w:tcPr>
          <w:p w14:paraId="16F61296" w14:textId="34976DB0" w:rsidR="00864495" w:rsidRDefault="00D769D9" w:rsidP="00122AD6">
            <w:pPr>
              <w:keepNext/>
              <w:spacing w:before="40" w:after="40" w:line="240" w:lineRule="atLeast"/>
              <w:rPr>
                <w:sz w:val="18"/>
              </w:rPr>
            </w:pPr>
            <w:proofErr w:type="spellStart"/>
            <w:r>
              <w:rPr>
                <w:sz w:val="18"/>
              </w:rPr>
              <w:t>Dep’n</w:t>
            </w:r>
            <w:proofErr w:type="spellEnd"/>
            <w:r>
              <w:rPr>
                <w:sz w:val="18"/>
              </w:rPr>
              <w:t xml:space="preserve"> &amp; </w:t>
            </w:r>
            <w:proofErr w:type="spellStart"/>
            <w:r>
              <w:rPr>
                <w:sz w:val="18"/>
              </w:rPr>
              <w:t>Cap.</w:t>
            </w:r>
            <w:r w:rsidR="00864495">
              <w:rPr>
                <w:sz w:val="18"/>
              </w:rPr>
              <w:t>charge</w:t>
            </w:r>
            <w:proofErr w:type="spellEnd"/>
            <w:r w:rsidRPr="006F0D20">
              <w:rPr>
                <w:rFonts w:cs="Arial"/>
                <w:sz w:val="20"/>
                <w:vertAlign w:val="superscript"/>
              </w:rPr>
              <w:t>∞</w:t>
            </w:r>
          </w:p>
        </w:tc>
        <w:tc>
          <w:tcPr>
            <w:tcW w:w="1186" w:type="dxa"/>
            <w:tcBorders>
              <w:bottom w:val="single" w:sz="12" w:space="0" w:color="DDDDDD"/>
            </w:tcBorders>
            <w:vAlign w:val="center"/>
          </w:tcPr>
          <w:p w14:paraId="7933B38B"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4F7BDE65"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5E0FAF1E"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1ABDF75B"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04C70F4A" w14:textId="77777777" w:rsidR="00864495" w:rsidRPr="009911C3" w:rsidRDefault="00864495" w:rsidP="00122AD6">
            <w:pPr>
              <w:pStyle w:val="TableText"/>
              <w:keepNext/>
              <w:spacing w:before="40" w:after="40"/>
              <w:jc w:val="right"/>
            </w:pPr>
          </w:p>
        </w:tc>
        <w:tc>
          <w:tcPr>
            <w:tcW w:w="1186" w:type="dxa"/>
            <w:tcBorders>
              <w:bottom w:val="single" w:sz="12" w:space="0" w:color="DDDDDD"/>
            </w:tcBorders>
            <w:vAlign w:val="center"/>
          </w:tcPr>
          <w:p w14:paraId="63A24A52" w14:textId="77777777" w:rsidR="00864495" w:rsidRPr="009911C3" w:rsidRDefault="00864495" w:rsidP="00122AD6">
            <w:pPr>
              <w:pStyle w:val="TableText"/>
              <w:keepNext/>
              <w:spacing w:before="40" w:after="40"/>
              <w:jc w:val="right"/>
            </w:pPr>
          </w:p>
        </w:tc>
      </w:tr>
      <w:tr w:rsidR="00864495" w:rsidRPr="00CC1667" w14:paraId="50A85BC0" w14:textId="77777777" w:rsidTr="00317C8E">
        <w:tc>
          <w:tcPr>
            <w:tcW w:w="2240" w:type="dxa"/>
            <w:tcBorders>
              <w:top w:val="single" w:sz="12" w:space="0" w:color="DDDDDD"/>
              <w:left w:val="single" w:sz="12" w:space="0" w:color="DDDDDD"/>
              <w:bottom w:val="single" w:sz="12" w:space="0" w:color="DDDDDD"/>
              <w:right w:val="single" w:sz="12" w:space="0" w:color="DDDDDD"/>
            </w:tcBorders>
            <w:shd w:val="clear" w:color="auto" w:fill="DEEAF5"/>
            <w:vAlign w:val="center"/>
          </w:tcPr>
          <w:p w14:paraId="70BD3531" w14:textId="77777777" w:rsidR="00864495" w:rsidRPr="00486BC3" w:rsidRDefault="00864495" w:rsidP="00122AD6">
            <w:pPr>
              <w:keepNext/>
              <w:spacing w:before="40" w:after="40" w:line="240" w:lineRule="atLeast"/>
              <w:rPr>
                <w:sz w:val="18"/>
              </w:rPr>
            </w:pPr>
            <w:r>
              <w:rPr>
                <w:sz w:val="18"/>
              </w:rPr>
              <w:t>Net Operating Change</w:t>
            </w: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25AE817A" w14:textId="77777777" w:rsidR="00864495" w:rsidRPr="009911C3" w:rsidRDefault="00864495" w:rsidP="00122AD6">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32A9F5B8" w14:textId="77777777" w:rsidR="00864495" w:rsidRPr="009911C3" w:rsidRDefault="00864495" w:rsidP="00122AD6">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3D4469DD" w14:textId="77777777" w:rsidR="00864495" w:rsidRPr="009911C3" w:rsidRDefault="00864495" w:rsidP="00122AD6">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049E0AD8" w14:textId="77777777" w:rsidR="00864495" w:rsidRPr="009911C3" w:rsidRDefault="00864495" w:rsidP="00122AD6">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3E12C5DA" w14:textId="77777777" w:rsidR="00864495" w:rsidRPr="009911C3" w:rsidRDefault="00864495" w:rsidP="00122AD6">
            <w:pPr>
              <w:pStyle w:val="TableText"/>
              <w:keepNext/>
              <w:spacing w:before="40" w:after="40"/>
              <w:jc w:val="right"/>
            </w:pPr>
          </w:p>
        </w:tc>
        <w:tc>
          <w:tcPr>
            <w:tcW w:w="1186" w:type="dxa"/>
            <w:tcBorders>
              <w:top w:val="single" w:sz="12" w:space="0" w:color="DDDDDD"/>
              <w:left w:val="single" w:sz="12" w:space="0" w:color="DDDDDD"/>
              <w:bottom w:val="single" w:sz="12" w:space="0" w:color="DDDDDD"/>
              <w:right w:val="single" w:sz="12" w:space="0" w:color="DDDDDD"/>
            </w:tcBorders>
            <w:shd w:val="clear" w:color="auto" w:fill="F2F2F2"/>
            <w:vAlign w:val="center"/>
          </w:tcPr>
          <w:p w14:paraId="713D1DAD" w14:textId="77777777" w:rsidR="00864495" w:rsidRPr="009911C3" w:rsidRDefault="00864495" w:rsidP="00122AD6">
            <w:pPr>
              <w:pStyle w:val="TableText"/>
              <w:keepNext/>
              <w:spacing w:before="40" w:after="40"/>
              <w:jc w:val="right"/>
            </w:pPr>
          </w:p>
        </w:tc>
      </w:tr>
    </w:tbl>
    <w:p w14:paraId="65D4AFC9" w14:textId="45AC670C" w:rsidR="00864495" w:rsidRDefault="00864495" w:rsidP="005F2E69">
      <w:pPr>
        <w:spacing w:before="60" w:line="240" w:lineRule="auto"/>
        <w:rPr>
          <w:rFonts w:cs="Arial"/>
          <w:sz w:val="18"/>
        </w:rPr>
      </w:pPr>
      <w:r w:rsidRPr="007C273F">
        <w:rPr>
          <w:b/>
          <w:sz w:val="18"/>
        </w:rPr>
        <w:t>Note:</w:t>
      </w:r>
      <w:r>
        <w:rPr>
          <w:sz w:val="18"/>
        </w:rPr>
        <w:t xml:space="preserve"> *From capital reserves. ^Project time-limited funding.</w:t>
      </w:r>
      <w:r w:rsidRPr="00827D51">
        <w:rPr>
          <w:sz w:val="18"/>
        </w:rPr>
        <w:t xml:space="preserve"> </w:t>
      </w:r>
      <w:r w:rsidRPr="009F324A">
        <w:rPr>
          <w:sz w:val="18"/>
          <w:vertAlign w:val="superscript"/>
        </w:rPr>
        <w:t>#</w:t>
      </w:r>
      <w:r>
        <w:rPr>
          <w:sz w:val="18"/>
        </w:rPr>
        <w:t xml:space="preserve">Crown revenue excluding time-limited project funding. Costs include all contingencies. Project </w:t>
      </w:r>
      <w:proofErr w:type="spellStart"/>
      <w:r w:rsidR="009049DE">
        <w:rPr>
          <w:sz w:val="18"/>
        </w:rPr>
        <w:t>O</w:t>
      </w:r>
      <w:r>
        <w:rPr>
          <w:sz w:val="18"/>
        </w:rPr>
        <w:t>pex</w:t>
      </w:r>
      <w:proofErr w:type="spellEnd"/>
      <w:r>
        <w:rPr>
          <w:sz w:val="18"/>
        </w:rPr>
        <w:t xml:space="preserve"> includes project-related costs </w:t>
      </w:r>
      <w:r w:rsidR="009049DE">
        <w:rPr>
          <w:sz w:val="18"/>
        </w:rPr>
        <w:t>including</w:t>
      </w:r>
      <w:r w:rsidRPr="00EC0F52">
        <w:rPr>
          <w:sz w:val="18"/>
        </w:rPr>
        <w:t xml:space="preserve"> independent quality assurance, quantitative risk analysis, Gate</w:t>
      </w:r>
      <w:r>
        <w:rPr>
          <w:sz w:val="18"/>
        </w:rPr>
        <w:t>way reviews</w:t>
      </w:r>
      <w:r w:rsidR="006A024A">
        <w:rPr>
          <w:sz w:val="18"/>
        </w:rPr>
        <w:t>,</w:t>
      </w:r>
      <w:r w:rsidRPr="00EC0F52">
        <w:rPr>
          <w:sz w:val="18"/>
        </w:rPr>
        <w:t xml:space="preserve"> any decommissioning</w:t>
      </w:r>
      <w:r>
        <w:rPr>
          <w:sz w:val="18"/>
        </w:rPr>
        <w:t>.</w:t>
      </w:r>
      <w:r w:rsidR="00D769D9">
        <w:rPr>
          <w:sz w:val="18"/>
        </w:rPr>
        <w:t xml:space="preserve"> </w:t>
      </w:r>
      <w:r w:rsidR="00D769D9" w:rsidRPr="006F0D20">
        <w:rPr>
          <w:rFonts w:cs="Arial"/>
          <w:sz w:val="20"/>
          <w:vertAlign w:val="superscript"/>
        </w:rPr>
        <w:t>∞</w:t>
      </w:r>
      <w:r w:rsidR="00D769D9" w:rsidRPr="001A1A48">
        <w:rPr>
          <w:rFonts w:cs="Arial"/>
          <w:sz w:val="18"/>
        </w:rPr>
        <w:t>Depreciation</w:t>
      </w:r>
      <w:r w:rsidR="00D769D9">
        <w:rPr>
          <w:rFonts w:cs="Arial"/>
          <w:sz w:val="18"/>
        </w:rPr>
        <w:t xml:space="preserve"> </w:t>
      </w:r>
      <w:r w:rsidR="006A024A">
        <w:rPr>
          <w:rFonts w:cs="Arial"/>
          <w:sz w:val="18"/>
        </w:rPr>
        <w:t>&amp;</w:t>
      </w:r>
      <w:r w:rsidR="00D769D9">
        <w:rPr>
          <w:rFonts w:cs="Arial"/>
          <w:sz w:val="18"/>
        </w:rPr>
        <w:t xml:space="preserve"> Capital charge.</w:t>
      </w:r>
    </w:p>
    <w:p w14:paraId="01FA109A" w14:textId="77777777" w:rsidR="00317C8E" w:rsidRDefault="00317C8E" w:rsidP="00317C8E">
      <w:pPr>
        <w:pStyle w:val="spacer"/>
      </w:pPr>
    </w:p>
    <w:p w14:paraId="085BC696" w14:textId="4D34B5EC" w:rsidR="009049DE" w:rsidRPr="00317C8E" w:rsidRDefault="009049DE" w:rsidP="00122AD6">
      <w:pPr>
        <w:spacing w:line="260" w:lineRule="atLeast"/>
        <w:rPr>
          <w:rStyle w:val="Emphasis"/>
          <w:i w:val="0"/>
          <w:color w:val="000000"/>
          <w:sz w:val="22"/>
          <w:szCs w:val="22"/>
        </w:rPr>
      </w:pPr>
      <w:r w:rsidRPr="00317C8E">
        <w:rPr>
          <w:rStyle w:val="Emphasis"/>
          <w:i w:val="0"/>
          <w:color w:val="000000"/>
          <w:sz w:val="22"/>
          <w:szCs w:val="22"/>
        </w:rPr>
        <w:t xml:space="preserve">Detailed financial modelling information is documented in </w:t>
      </w:r>
      <w:r w:rsidRPr="00317C8E">
        <w:rPr>
          <w:rStyle w:val="Emphasis"/>
          <w:iCs w:val="0"/>
          <w:color w:val="0000FF"/>
          <w:sz w:val="22"/>
          <w:szCs w:val="22"/>
        </w:rPr>
        <w:t>name the document(s)</w:t>
      </w:r>
      <w:r w:rsidRPr="00317C8E">
        <w:rPr>
          <w:rStyle w:val="Emphasis"/>
          <w:iCs w:val="0"/>
          <w:color w:val="000000"/>
          <w:sz w:val="22"/>
          <w:szCs w:val="22"/>
        </w:rPr>
        <w:t>.</w:t>
      </w:r>
      <w:r w:rsidRPr="00317C8E">
        <w:rPr>
          <w:rStyle w:val="Emphasis"/>
          <w:i w:val="0"/>
          <w:color w:val="000000"/>
          <w:sz w:val="22"/>
          <w:szCs w:val="22"/>
        </w:rPr>
        <w:t xml:space="preserve">  These is/are listed in </w:t>
      </w:r>
      <w:hyperlink w:anchor="_Annex_2:_" w:history="1">
        <w:r w:rsidRPr="00317C8E">
          <w:rPr>
            <w:rStyle w:val="Hyperlink"/>
            <w:szCs w:val="22"/>
          </w:rPr>
          <w:t>Annex 2</w:t>
        </w:r>
      </w:hyperlink>
      <w:r w:rsidRPr="00317C8E">
        <w:rPr>
          <w:rStyle w:val="Emphasis"/>
          <w:i w:val="0"/>
          <w:color w:val="000000"/>
          <w:sz w:val="22"/>
          <w:szCs w:val="22"/>
        </w:rPr>
        <w:t xml:space="preserve"> and are available on request.</w:t>
      </w:r>
    </w:p>
    <w:p w14:paraId="2B68A676" w14:textId="77777777" w:rsidR="00855D91" w:rsidRPr="00996D0A" w:rsidRDefault="00855D91" w:rsidP="00996D0A">
      <w:pPr>
        <w:pStyle w:val="Heading3"/>
        <w:rPr>
          <w:rStyle w:val="Emphasis"/>
          <w:i w:val="0"/>
          <w:color w:val="002469"/>
          <w:sz w:val="24"/>
          <w:szCs w:val="24"/>
        </w:rPr>
      </w:pPr>
      <w:r w:rsidRPr="00996D0A">
        <w:rPr>
          <w:rStyle w:val="Emphasis"/>
          <w:i w:val="0"/>
          <w:color w:val="002469"/>
          <w:sz w:val="24"/>
          <w:szCs w:val="24"/>
        </w:rPr>
        <w:t xml:space="preserve">Contingencies </w:t>
      </w:r>
      <w:r w:rsidR="00590390" w:rsidRPr="00996D0A">
        <w:rPr>
          <w:rStyle w:val="Emphasis"/>
          <w:i w:val="0"/>
          <w:color w:val="002469"/>
          <w:sz w:val="24"/>
          <w:szCs w:val="24"/>
        </w:rPr>
        <w:t xml:space="preserve">and </w:t>
      </w:r>
      <w:r w:rsidR="00590390" w:rsidRPr="00996D0A">
        <w:rPr>
          <w:rStyle w:val="Emphasis"/>
          <w:i w:val="0"/>
          <w:iCs w:val="0"/>
          <w:color w:val="002469"/>
          <w:sz w:val="24"/>
          <w:szCs w:val="24"/>
        </w:rPr>
        <w:t>funding</w:t>
      </w:r>
      <w:r w:rsidR="00590390" w:rsidRPr="00996D0A">
        <w:rPr>
          <w:rStyle w:val="Emphasis"/>
          <w:i w:val="0"/>
          <w:color w:val="002469"/>
          <w:sz w:val="24"/>
          <w:szCs w:val="24"/>
        </w:rPr>
        <w:t xml:space="preserve"> risk</w:t>
      </w:r>
    </w:p>
    <w:p w14:paraId="68C6BAAE" w14:textId="21EEAF11" w:rsidR="00B14E7F" w:rsidRDefault="00B14E7F"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Clearly identify contingencies and the rationale for the total </w:t>
      </w:r>
      <w:r w:rsidR="0094604A">
        <w:rPr>
          <w:rStyle w:val="Emphasis"/>
        </w:rPr>
        <w:t xml:space="preserve">contingency required (such as past agency experience or industry standards). </w:t>
      </w:r>
      <w:r w:rsidR="007C273F">
        <w:rPr>
          <w:rStyle w:val="Emphasis"/>
        </w:rPr>
        <w:t xml:space="preserve"> </w:t>
      </w:r>
      <w:r>
        <w:rPr>
          <w:rStyle w:val="Emphasis"/>
        </w:rPr>
        <w:t>Q</w:t>
      </w:r>
      <w:r w:rsidR="00855D91" w:rsidRPr="00855D91">
        <w:rPr>
          <w:rStyle w:val="Emphasis"/>
        </w:rPr>
        <w:t xml:space="preserve">uantitative </w:t>
      </w:r>
      <w:r w:rsidR="00FF2F28">
        <w:rPr>
          <w:rStyle w:val="Emphasis"/>
        </w:rPr>
        <w:t>R</w:t>
      </w:r>
      <w:r w:rsidR="00855D91" w:rsidRPr="00855D91">
        <w:rPr>
          <w:rStyle w:val="Emphasis"/>
        </w:rPr>
        <w:t xml:space="preserve">isk </w:t>
      </w:r>
      <w:r w:rsidR="00FF2F28">
        <w:rPr>
          <w:rStyle w:val="Emphasis"/>
        </w:rPr>
        <w:t>A</w:t>
      </w:r>
      <w:r w:rsidR="00855D91" w:rsidRPr="00855D91">
        <w:rPr>
          <w:rStyle w:val="Emphasis"/>
        </w:rPr>
        <w:t>nalysis</w:t>
      </w:r>
      <w:r>
        <w:rPr>
          <w:rStyle w:val="Emphasis"/>
        </w:rPr>
        <w:t xml:space="preserve"> (QRA) may </w:t>
      </w:r>
      <w:r w:rsidR="0094604A">
        <w:rPr>
          <w:rStyle w:val="Emphasis"/>
        </w:rPr>
        <w:t>assist</w:t>
      </w:r>
      <w:r>
        <w:rPr>
          <w:rStyle w:val="Emphasis"/>
        </w:rPr>
        <w:t xml:space="preserve"> to estimate </w:t>
      </w:r>
      <w:r w:rsidR="00855D91" w:rsidRPr="00855D91">
        <w:rPr>
          <w:rStyle w:val="Emphasis"/>
        </w:rPr>
        <w:t xml:space="preserve">a probability distribution of likely project </w:t>
      </w:r>
      <w:r>
        <w:rPr>
          <w:rStyle w:val="Emphasis"/>
        </w:rPr>
        <w:t xml:space="preserve">risks and </w:t>
      </w:r>
      <w:r w:rsidR="00855D91" w:rsidRPr="00855D91">
        <w:rPr>
          <w:rStyle w:val="Emphasis"/>
        </w:rPr>
        <w:t>costs</w:t>
      </w:r>
      <w:r w:rsidR="0094604A">
        <w:rPr>
          <w:rStyle w:val="Emphasis"/>
        </w:rPr>
        <w:t xml:space="preserve"> and the funding required</w:t>
      </w:r>
      <w:r w:rsidR="00855D91" w:rsidRPr="00855D91">
        <w:rPr>
          <w:rStyle w:val="Emphasis"/>
        </w:rPr>
        <w:t>.</w:t>
      </w:r>
      <w:r w:rsidR="00FF2F28">
        <w:rPr>
          <w:rStyle w:val="Emphasis"/>
        </w:rPr>
        <w:t xml:space="preserve"> </w:t>
      </w:r>
    </w:p>
    <w:p w14:paraId="2AF49FCC" w14:textId="3EBBE486" w:rsidR="00855D91" w:rsidRPr="00844C42" w:rsidRDefault="00855D91"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855D91">
        <w:rPr>
          <w:rStyle w:val="Emphasis"/>
        </w:rPr>
        <w:t xml:space="preserve">If project risks materialise, delegation limits </w:t>
      </w:r>
      <w:r w:rsidR="0094604A">
        <w:rPr>
          <w:rStyle w:val="Emphasis"/>
        </w:rPr>
        <w:t>should</w:t>
      </w:r>
      <w:r w:rsidR="0094604A" w:rsidRPr="00855D91">
        <w:rPr>
          <w:rStyle w:val="Emphasis"/>
        </w:rPr>
        <w:t xml:space="preserve"> </w:t>
      </w:r>
      <w:r w:rsidRPr="00855D91">
        <w:rPr>
          <w:rStyle w:val="Emphasis"/>
        </w:rPr>
        <w:t xml:space="preserve">be set </w:t>
      </w:r>
      <w:r w:rsidR="005A5439">
        <w:rPr>
          <w:rStyle w:val="Emphasis"/>
        </w:rPr>
        <w:t>to</w:t>
      </w:r>
      <w:r w:rsidRPr="00855D91">
        <w:rPr>
          <w:rStyle w:val="Emphasis"/>
        </w:rPr>
        <w:t xml:space="preserve"> determine the thresholds at which the organisation needs to seek approvals for additional funding. This can inform recommendations for appropriation limits and processes for </w:t>
      </w:r>
      <w:r w:rsidR="00FF2F28">
        <w:rPr>
          <w:rStyle w:val="Emphasis"/>
        </w:rPr>
        <w:t>managing</w:t>
      </w:r>
      <w:r>
        <w:rPr>
          <w:rStyle w:val="Emphasis"/>
        </w:rPr>
        <w:t xml:space="preserve"> contingency funding.</w:t>
      </w:r>
    </w:p>
    <w:p w14:paraId="05A30EE2" w14:textId="77777777" w:rsidR="00855D91" w:rsidRPr="004F4C17" w:rsidRDefault="00855D91" w:rsidP="00122AD6">
      <w:pPr>
        <w:spacing w:line="260" w:lineRule="atLeast"/>
        <w:rPr>
          <w:rStyle w:val="Emphasis"/>
          <w:i w:val="0"/>
        </w:rPr>
      </w:pPr>
      <w:r w:rsidRPr="004F4C17">
        <w:rPr>
          <w:rStyle w:val="Emphasis"/>
          <w:i w:val="0"/>
        </w:rPr>
        <w:t xml:space="preserve">Appropriate contingencies of </w:t>
      </w:r>
      <w:r w:rsidRPr="00482953">
        <w:rPr>
          <w:rStyle w:val="Emphasis"/>
          <w:i w:val="0"/>
          <w:highlight w:val="yellow"/>
        </w:rPr>
        <w:t>[xx</w:t>
      </w:r>
      <w:proofErr w:type="gramStart"/>
      <w:r w:rsidRPr="00482953">
        <w:rPr>
          <w:rStyle w:val="Emphasis"/>
          <w:i w:val="0"/>
          <w:highlight w:val="yellow"/>
        </w:rPr>
        <w:t>]</w:t>
      </w:r>
      <w:r w:rsidRPr="004F4C17">
        <w:rPr>
          <w:rStyle w:val="Emphasis"/>
          <w:i w:val="0"/>
        </w:rPr>
        <w:t>%</w:t>
      </w:r>
      <w:proofErr w:type="gramEnd"/>
      <w:r w:rsidRPr="004F4C17">
        <w:rPr>
          <w:rStyle w:val="Emphasis"/>
          <w:i w:val="0"/>
        </w:rPr>
        <w:t xml:space="preserve"> for capital costs and </w:t>
      </w:r>
      <w:r w:rsidRPr="00482953">
        <w:rPr>
          <w:rStyle w:val="Emphasis"/>
          <w:i w:val="0"/>
          <w:highlight w:val="yellow"/>
        </w:rPr>
        <w:t>[xx]</w:t>
      </w:r>
      <w:r w:rsidRPr="00482953">
        <w:rPr>
          <w:rStyle w:val="Emphasis"/>
          <w:i w:val="0"/>
        </w:rPr>
        <w:t>%</w:t>
      </w:r>
      <w:r w:rsidRPr="004F4C17">
        <w:rPr>
          <w:rStyle w:val="Emphasis"/>
          <w:i w:val="0"/>
        </w:rPr>
        <w:t xml:space="preserve"> for operating costs have been made for risks and uncertainties</w:t>
      </w:r>
      <w:r w:rsidRPr="006A024A">
        <w:rPr>
          <w:rStyle w:val="Emphasis"/>
          <w:i w:val="0"/>
          <w:highlight w:val="yellow"/>
        </w:rPr>
        <w:t>…..</w:t>
      </w:r>
      <w:r w:rsidRPr="004F4C17">
        <w:rPr>
          <w:rStyle w:val="Emphasis"/>
          <w:i w:val="0"/>
        </w:rPr>
        <w:t>.</w:t>
      </w:r>
    </w:p>
    <w:p w14:paraId="6B568BC9" w14:textId="77777777" w:rsidR="00317C8E" w:rsidRDefault="00317C8E" w:rsidP="006E4FDB">
      <w:pPr>
        <w:pStyle w:val="Heading3"/>
        <w:rPr>
          <w:rStyle w:val="Emphasis"/>
          <w:i w:val="0"/>
        </w:rPr>
      </w:pPr>
    </w:p>
    <w:p w14:paraId="2531C777" w14:textId="2707A520" w:rsidR="000C3827" w:rsidRPr="00996D0A" w:rsidRDefault="00BF6322" w:rsidP="00996D0A">
      <w:pPr>
        <w:pStyle w:val="Heading3"/>
        <w:rPr>
          <w:rStyle w:val="Emphasis"/>
          <w:i w:val="0"/>
          <w:iCs w:val="0"/>
          <w:color w:val="002469"/>
          <w:sz w:val="24"/>
        </w:rPr>
      </w:pPr>
      <w:r w:rsidRPr="00996D0A">
        <w:rPr>
          <w:rStyle w:val="Emphasis"/>
          <w:i w:val="0"/>
          <w:iCs w:val="0"/>
          <w:color w:val="002469"/>
          <w:sz w:val="24"/>
        </w:rPr>
        <w:t>Funding sources</w:t>
      </w:r>
    </w:p>
    <w:p w14:paraId="01BDE791" w14:textId="77777777" w:rsidR="000C3827" w:rsidRPr="00844C42" w:rsidRDefault="000C3827"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855D91">
        <w:rPr>
          <w:rStyle w:val="Emphasis"/>
        </w:rPr>
        <w:t xml:space="preserve">Funding sources can include the Crown (where relevant), </w:t>
      </w:r>
      <w:r w:rsidR="007C273F">
        <w:rPr>
          <w:rStyle w:val="Emphasis"/>
        </w:rPr>
        <w:t xml:space="preserve">user charges (where permitted), </w:t>
      </w:r>
      <w:r w:rsidRPr="00855D91">
        <w:rPr>
          <w:rStyle w:val="Emphasis"/>
        </w:rPr>
        <w:t>third party revenue, borrowing (where permitted) and the organisation’s balanc</w:t>
      </w:r>
      <w:r>
        <w:rPr>
          <w:rStyle w:val="Emphasis"/>
        </w:rPr>
        <w:t>e sheet and operating resources.</w:t>
      </w:r>
    </w:p>
    <w:p w14:paraId="6D695627" w14:textId="77777777" w:rsidR="000C3827" w:rsidRPr="00317C8E" w:rsidRDefault="000C3827" w:rsidP="00122AD6">
      <w:pPr>
        <w:spacing w:line="260" w:lineRule="atLeast"/>
        <w:rPr>
          <w:rStyle w:val="Emphasis"/>
          <w:i w:val="0"/>
          <w:sz w:val="22"/>
          <w:szCs w:val="22"/>
        </w:rPr>
      </w:pPr>
      <w:r w:rsidRPr="00317C8E">
        <w:rPr>
          <w:rStyle w:val="Emphasis"/>
          <w:i w:val="0"/>
          <w:sz w:val="22"/>
          <w:szCs w:val="22"/>
        </w:rPr>
        <w:t>The proposed funding arrangements are to</w:t>
      </w:r>
      <w:r w:rsidRPr="00317C8E">
        <w:rPr>
          <w:rStyle w:val="Emphasis"/>
          <w:i w:val="0"/>
          <w:sz w:val="22"/>
          <w:szCs w:val="22"/>
          <w:highlight w:val="yellow"/>
        </w:rPr>
        <w:t>……</w:t>
      </w:r>
    </w:p>
    <w:p w14:paraId="7D1B0403" w14:textId="62B5E667" w:rsidR="000C3827" w:rsidRPr="00317C8E" w:rsidRDefault="000C3827" w:rsidP="00122AD6">
      <w:pPr>
        <w:spacing w:line="260" w:lineRule="atLeast"/>
        <w:rPr>
          <w:color w:val="000000"/>
          <w:szCs w:val="22"/>
        </w:rPr>
      </w:pPr>
      <w:r w:rsidRPr="00317C8E">
        <w:rPr>
          <w:color w:val="000000"/>
          <w:szCs w:val="22"/>
        </w:rPr>
        <w:t xml:space="preserve">This approval will enable draw-down of </w:t>
      </w:r>
      <w:r w:rsidR="00AD21B1" w:rsidRPr="00317C8E">
        <w:rPr>
          <w:color w:val="000000"/>
          <w:szCs w:val="22"/>
        </w:rPr>
        <w:t>funding</w:t>
      </w:r>
      <w:r w:rsidRPr="00317C8E">
        <w:rPr>
          <w:color w:val="000000"/>
          <w:szCs w:val="22"/>
        </w:rPr>
        <w:t xml:space="preserve"> for this </w:t>
      </w:r>
      <w:r w:rsidRPr="00317C8E">
        <w:rPr>
          <w:color w:val="000000"/>
          <w:szCs w:val="22"/>
          <w:highlight w:val="yellow"/>
        </w:rPr>
        <w:t>project/tranche</w:t>
      </w:r>
      <w:r w:rsidR="00B02B47" w:rsidRPr="00317C8E">
        <w:rPr>
          <w:color w:val="000000"/>
          <w:szCs w:val="22"/>
          <w:highlight w:val="yellow"/>
        </w:rPr>
        <w:t xml:space="preserve"> from ……</w:t>
      </w:r>
      <w:r w:rsidRPr="00317C8E">
        <w:rPr>
          <w:color w:val="000000"/>
          <w:szCs w:val="22"/>
        </w:rPr>
        <w:t xml:space="preserve">. </w:t>
      </w:r>
    </w:p>
    <w:p w14:paraId="1075E2F3" w14:textId="77777777" w:rsidR="00855D91" w:rsidRPr="00996D0A" w:rsidRDefault="008F05F0" w:rsidP="00996D0A">
      <w:pPr>
        <w:pStyle w:val="Heading3"/>
        <w:rPr>
          <w:rStyle w:val="Emphasis"/>
          <w:i w:val="0"/>
          <w:color w:val="002469"/>
          <w:sz w:val="24"/>
          <w:szCs w:val="24"/>
        </w:rPr>
      </w:pPr>
      <w:r w:rsidRPr="00996D0A">
        <w:rPr>
          <w:rStyle w:val="Emphasis"/>
          <w:i w:val="0"/>
          <w:color w:val="002469"/>
          <w:sz w:val="24"/>
          <w:szCs w:val="24"/>
        </w:rPr>
        <w:t xml:space="preserve">Impacts on </w:t>
      </w:r>
      <w:r w:rsidR="00855D91" w:rsidRPr="00996D0A">
        <w:rPr>
          <w:rStyle w:val="Emphasis"/>
          <w:i w:val="0"/>
          <w:color w:val="002469"/>
          <w:sz w:val="24"/>
          <w:szCs w:val="24"/>
        </w:rPr>
        <w:t xml:space="preserve">financial </w:t>
      </w:r>
      <w:r w:rsidR="00855D91" w:rsidRPr="00996D0A">
        <w:rPr>
          <w:rStyle w:val="Emphasis"/>
          <w:i w:val="0"/>
          <w:iCs w:val="0"/>
          <w:color w:val="002469"/>
          <w:sz w:val="24"/>
          <w:szCs w:val="24"/>
        </w:rPr>
        <w:t>statements</w:t>
      </w:r>
    </w:p>
    <w:p w14:paraId="19EDF0CC" w14:textId="77777777" w:rsidR="009049DE" w:rsidRPr="00317C8E" w:rsidRDefault="00855D91" w:rsidP="00317C8E">
      <w:pPr>
        <w:spacing w:line="260" w:lineRule="atLeast"/>
        <w:rPr>
          <w:rStyle w:val="Emphasis"/>
          <w:i w:val="0"/>
          <w:sz w:val="22"/>
          <w:szCs w:val="22"/>
        </w:rPr>
      </w:pPr>
      <w:r w:rsidRPr="00317C8E">
        <w:rPr>
          <w:rStyle w:val="Emphasis"/>
          <w:i w:val="0"/>
          <w:sz w:val="22"/>
          <w:szCs w:val="22"/>
        </w:rPr>
        <w:t>The financial impacts of the project</w:t>
      </w:r>
      <w:r w:rsidR="005F6B64" w:rsidRPr="00317C8E">
        <w:rPr>
          <w:rStyle w:val="Emphasis"/>
          <w:i w:val="0"/>
          <w:sz w:val="22"/>
          <w:szCs w:val="22"/>
        </w:rPr>
        <w:t>/tranche</w:t>
      </w:r>
      <w:r w:rsidRPr="00317C8E">
        <w:rPr>
          <w:rStyle w:val="Emphasis"/>
          <w:i w:val="0"/>
          <w:sz w:val="22"/>
          <w:szCs w:val="22"/>
        </w:rPr>
        <w:t xml:space="preserve"> over the intended life span are</w:t>
      </w:r>
      <w:r w:rsidR="007C273F" w:rsidRPr="00317C8E">
        <w:rPr>
          <w:rStyle w:val="Emphasis"/>
          <w:i w:val="0"/>
          <w:sz w:val="22"/>
          <w:szCs w:val="22"/>
        </w:rPr>
        <w:t>:</w:t>
      </w:r>
      <w:r w:rsidRPr="00317C8E">
        <w:rPr>
          <w:rStyle w:val="Emphasis"/>
          <w:i w:val="0"/>
          <w:sz w:val="22"/>
          <w:szCs w:val="22"/>
        </w:rPr>
        <w:t xml:space="preserve"> </w:t>
      </w:r>
    </w:p>
    <w:p w14:paraId="1590417F" w14:textId="73F85BFD" w:rsidR="007C273F" w:rsidRPr="00317C8E" w:rsidRDefault="007C273F" w:rsidP="00317C8E">
      <w:pPr>
        <w:pStyle w:val="ListParagraph"/>
        <w:numPr>
          <w:ilvl w:val="0"/>
          <w:numId w:val="37"/>
        </w:numPr>
        <w:spacing w:line="260" w:lineRule="atLeast"/>
        <w:ind w:left="425" w:hanging="425"/>
        <w:rPr>
          <w:rStyle w:val="Emphasis"/>
          <w:i w:val="0"/>
          <w:sz w:val="22"/>
          <w:szCs w:val="22"/>
        </w:rPr>
      </w:pPr>
      <w:r w:rsidRPr="00317C8E">
        <w:rPr>
          <w:rStyle w:val="Emphasis"/>
          <w:color w:val="0000FF"/>
          <w:sz w:val="22"/>
          <w:szCs w:val="22"/>
        </w:rPr>
        <w:t>list</w:t>
      </w:r>
      <w:r w:rsidR="00D33746" w:rsidRPr="00317C8E">
        <w:rPr>
          <w:rStyle w:val="Emphasis"/>
          <w:i w:val="0"/>
          <w:sz w:val="22"/>
          <w:szCs w:val="22"/>
        </w:rPr>
        <w:t xml:space="preserve"> </w:t>
      </w:r>
    </w:p>
    <w:p w14:paraId="5A2D67F9" w14:textId="77777777" w:rsidR="00855D91" w:rsidRPr="00317C8E" w:rsidRDefault="007C273F" w:rsidP="00317C8E">
      <w:pPr>
        <w:spacing w:line="260" w:lineRule="atLeast"/>
        <w:rPr>
          <w:rStyle w:val="Emphasis"/>
          <w:i w:val="0"/>
          <w:sz w:val="22"/>
          <w:szCs w:val="22"/>
        </w:rPr>
      </w:pPr>
      <w:r w:rsidRPr="00317C8E">
        <w:rPr>
          <w:rStyle w:val="Emphasis"/>
          <w:i w:val="0"/>
          <w:sz w:val="22"/>
          <w:szCs w:val="22"/>
        </w:rPr>
        <w:t>The</w:t>
      </w:r>
      <w:r w:rsidR="00D33746" w:rsidRPr="00317C8E">
        <w:rPr>
          <w:rStyle w:val="Emphasis"/>
          <w:i w:val="0"/>
          <w:sz w:val="22"/>
          <w:szCs w:val="22"/>
        </w:rPr>
        <w:t xml:space="preserve"> revenue projections are </w:t>
      </w:r>
      <w:r w:rsidR="00D33746" w:rsidRPr="00317C8E">
        <w:rPr>
          <w:rStyle w:val="Emphasis"/>
          <w:i w:val="0"/>
          <w:sz w:val="22"/>
          <w:szCs w:val="22"/>
          <w:highlight w:val="yellow"/>
        </w:rPr>
        <w:t>…...</w:t>
      </w:r>
    </w:p>
    <w:p w14:paraId="1AFA9633" w14:textId="4F87FBB0" w:rsidR="00C14488" w:rsidRPr="00317C8E" w:rsidRDefault="00C14488" w:rsidP="00317C8E">
      <w:pPr>
        <w:spacing w:line="260" w:lineRule="atLeast"/>
        <w:rPr>
          <w:rStyle w:val="Emphasis"/>
          <w:i w:val="0"/>
          <w:sz w:val="22"/>
          <w:szCs w:val="22"/>
        </w:rPr>
      </w:pPr>
      <w:r w:rsidRPr="00317C8E">
        <w:rPr>
          <w:rStyle w:val="Emphasis"/>
          <w:i w:val="0"/>
          <w:sz w:val="22"/>
          <w:szCs w:val="22"/>
        </w:rPr>
        <w:t>The assets to be created or disposed</w:t>
      </w:r>
      <w:r w:rsidR="00722080" w:rsidRPr="00317C8E">
        <w:rPr>
          <w:rStyle w:val="Emphasis"/>
          <w:i w:val="0"/>
          <w:sz w:val="22"/>
          <w:szCs w:val="22"/>
        </w:rPr>
        <w:t xml:space="preserve"> </w:t>
      </w:r>
      <w:r w:rsidRPr="00317C8E">
        <w:rPr>
          <w:rStyle w:val="Emphasis"/>
          <w:i w:val="0"/>
          <w:sz w:val="22"/>
          <w:szCs w:val="22"/>
        </w:rPr>
        <w:t xml:space="preserve">of </w:t>
      </w:r>
      <w:r w:rsidR="008B52AA" w:rsidRPr="00317C8E">
        <w:rPr>
          <w:rStyle w:val="Emphasis"/>
          <w:i w:val="0"/>
          <w:sz w:val="22"/>
          <w:szCs w:val="22"/>
        </w:rPr>
        <w:t>are</w:t>
      </w:r>
      <w:r w:rsidRPr="00317C8E">
        <w:rPr>
          <w:rStyle w:val="Emphasis"/>
          <w:i w:val="0"/>
          <w:sz w:val="22"/>
          <w:szCs w:val="22"/>
        </w:rPr>
        <w:t xml:space="preserve"> </w:t>
      </w:r>
      <w:r w:rsidR="007C273F" w:rsidRPr="00317C8E">
        <w:rPr>
          <w:rStyle w:val="Emphasis"/>
          <w:color w:val="0000FF"/>
          <w:sz w:val="22"/>
          <w:szCs w:val="22"/>
        </w:rPr>
        <w:t>list</w:t>
      </w:r>
    </w:p>
    <w:p w14:paraId="1A60D4BB" w14:textId="6B6D76EC" w:rsidR="00855D91" w:rsidRPr="00317C8E" w:rsidRDefault="00855D91" w:rsidP="00317C8E">
      <w:pPr>
        <w:spacing w:line="260" w:lineRule="atLeast"/>
        <w:rPr>
          <w:rStyle w:val="Emphasis"/>
          <w:i w:val="0"/>
          <w:sz w:val="22"/>
          <w:szCs w:val="22"/>
        </w:rPr>
      </w:pPr>
      <w:r w:rsidRPr="00317C8E">
        <w:rPr>
          <w:rStyle w:val="Emphasis"/>
          <w:i w:val="0"/>
          <w:sz w:val="22"/>
          <w:szCs w:val="22"/>
        </w:rPr>
        <w:t xml:space="preserve">The impacts of </w:t>
      </w:r>
      <w:r w:rsidR="00D33746" w:rsidRPr="00317C8E">
        <w:rPr>
          <w:rStyle w:val="Emphasis"/>
          <w:i w:val="0"/>
          <w:sz w:val="22"/>
          <w:szCs w:val="22"/>
        </w:rPr>
        <w:t>this investment</w:t>
      </w:r>
      <w:r w:rsidRPr="00317C8E">
        <w:rPr>
          <w:rStyle w:val="Emphasis"/>
          <w:i w:val="0"/>
          <w:sz w:val="22"/>
          <w:szCs w:val="22"/>
        </w:rPr>
        <w:t xml:space="preserve"> on the operating statements and balance sheet have been assessed by a qualified accountant as </w:t>
      </w:r>
      <w:r w:rsidRPr="00317C8E">
        <w:rPr>
          <w:rStyle w:val="Emphasis"/>
          <w:i w:val="0"/>
          <w:sz w:val="22"/>
          <w:szCs w:val="22"/>
          <w:highlight w:val="yellow"/>
        </w:rPr>
        <w:t>…..</w:t>
      </w:r>
    </w:p>
    <w:p w14:paraId="58420A51" w14:textId="6E9CB00A" w:rsidR="009049DE" w:rsidRPr="00317C8E" w:rsidRDefault="00FF2F28" w:rsidP="00317C8E">
      <w:pPr>
        <w:spacing w:line="260" w:lineRule="atLeast"/>
        <w:rPr>
          <w:rStyle w:val="Emphasis"/>
          <w:i w:val="0"/>
          <w:color w:val="000000"/>
          <w:sz w:val="22"/>
          <w:szCs w:val="22"/>
        </w:rPr>
      </w:pPr>
      <w:r w:rsidRPr="00317C8E">
        <w:rPr>
          <w:rStyle w:val="Emphasis"/>
          <w:i w:val="0"/>
          <w:color w:val="000000"/>
          <w:sz w:val="22"/>
          <w:szCs w:val="22"/>
        </w:rPr>
        <w:t>Additional documents with m</w:t>
      </w:r>
      <w:r w:rsidR="009049DE" w:rsidRPr="00317C8E">
        <w:rPr>
          <w:rStyle w:val="Emphasis"/>
          <w:i w:val="0"/>
          <w:color w:val="000000"/>
          <w:sz w:val="22"/>
          <w:szCs w:val="22"/>
        </w:rPr>
        <w:t xml:space="preserve">ore detailed financial information </w:t>
      </w:r>
      <w:r w:rsidR="009049DE" w:rsidRPr="00317C8E">
        <w:rPr>
          <w:rStyle w:val="Emphasis"/>
          <w:iCs w:val="0"/>
          <w:color w:val="0000FF"/>
          <w:sz w:val="22"/>
          <w:szCs w:val="22"/>
        </w:rPr>
        <w:t>(</w:t>
      </w:r>
      <w:proofErr w:type="spellStart"/>
      <w:r w:rsidR="009049DE" w:rsidRPr="00317C8E">
        <w:rPr>
          <w:rStyle w:val="Emphasis"/>
          <w:iCs w:val="0"/>
          <w:color w:val="0000FF"/>
          <w:sz w:val="22"/>
          <w:szCs w:val="22"/>
        </w:rPr>
        <w:t>eg</w:t>
      </w:r>
      <w:proofErr w:type="spellEnd"/>
      <w:r w:rsidR="009049DE" w:rsidRPr="00317C8E">
        <w:rPr>
          <w:rStyle w:val="Emphasis"/>
          <w:iCs w:val="0"/>
          <w:color w:val="0000FF"/>
          <w:sz w:val="22"/>
          <w:szCs w:val="22"/>
        </w:rPr>
        <w:t xml:space="preserve"> contingencies, funding risk, sources of funding, </w:t>
      </w:r>
      <w:proofErr w:type="gramStart"/>
      <w:r w:rsidR="009049DE" w:rsidRPr="00317C8E">
        <w:rPr>
          <w:rStyle w:val="Emphasis"/>
          <w:iCs w:val="0"/>
          <w:color w:val="0000FF"/>
          <w:sz w:val="22"/>
          <w:szCs w:val="22"/>
        </w:rPr>
        <w:t>impacts</w:t>
      </w:r>
      <w:proofErr w:type="gramEnd"/>
      <w:r w:rsidR="009049DE" w:rsidRPr="00317C8E">
        <w:rPr>
          <w:rStyle w:val="Emphasis"/>
          <w:iCs w:val="0"/>
          <w:color w:val="0000FF"/>
          <w:sz w:val="22"/>
          <w:szCs w:val="22"/>
        </w:rPr>
        <w:t xml:space="preserve"> on financial statements)</w:t>
      </w:r>
      <w:r w:rsidR="009049DE" w:rsidRPr="00317C8E">
        <w:rPr>
          <w:rStyle w:val="Emphasis"/>
          <w:i w:val="0"/>
          <w:color w:val="000000"/>
          <w:sz w:val="22"/>
          <w:szCs w:val="22"/>
        </w:rPr>
        <w:t xml:space="preserve"> are listed in </w:t>
      </w:r>
      <w:hyperlink w:anchor="_Annex_2:_" w:history="1">
        <w:r w:rsidR="009049DE" w:rsidRPr="00317C8E">
          <w:rPr>
            <w:rStyle w:val="Hyperlink"/>
            <w:szCs w:val="22"/>
          </w:rPr>
          <w:t>Annex 2</w:t>
        </w:r>
      </w:hyperlink>
      <w:r w:rsidR="009049DE" w:rsidRPr="00317C8E">
        <w:rPr>
          <w:rStyle w:val="Emphasis"/>
          <w:i w:val="0"/>
          <w:color w:val="000000"/>
          <w:sz w:val="22"/>
          <w:szCs w:val="22"/>
        </w:rPr>
        <w:t xml:space="preserve"> and are available on request.</w:t>
      </w:r>
    </w:p>
    <w:p w14:paraId="0FCDD83D" w14:textId="77777777" w:rsidR="00F73196" w:rsidRPr="00996D0A" w:rsidRDefault="00F73196" w:rsidP="00996D0A">
      <w:pPr>
        <w:pStyle w:val="Heading3"/>
      </w:pPr>
      <w:bookmarkStart w:id="86" w:name="_Overall_affordability"/>
      <w:bookmarkEnd w:id="86"/>
      <w:r w:rsidRPr="00996D0A">
        <w:t>Overall affordability</w:t>
      </w:r>
    </w:p>
    <w:p w14:paraId="66ED4884" w14:textId="61A1C41C" w:rsidR="00F73196" w:rsidRDefault="00F73196" w:rsidP="00317C8E">
      <w:pPr>
        <w:spacing w:line="260" w:lineRule="atLeast"/>
      </w:pPr>
      <w:r>
        <w:t xml:space="preserve">The proposed whole of life cost of the programme is </w:t>
      </w:r>
      <w:r w:rsidR="00335F4D">
        <w:rPr>
          <w:shd w:val="clear" w:color="auto" w:fill="FFFF00"/>
        </w:rPr>
        <w:t>$</w:t>
      </w:r>
      <w:r w:rsidR="0003530F">
        <w:rPr>
          <w:shd w:val="clear" w:color="auto" w:fill="FFFF00"/>
        </w:rPr>
        <w:t>xxx million</w:t>
      </w:r>
      <w:r w:rsidR="00B15445">
        <w:t xml:space="preserve"> </w:t>
      </w:r>
      <w:r>
        <w:t>over the</w:t>
      </w:r>
      <w:r w:rsidR="00B15445">
        <w:t xml:space="preserve"> </w:t>
      </w:r>
      <w:r w:rsidR="00B15445" w:rsidRPr="00B15445">
        <w:rPr>
          <w:highlight w:val="yellow"/>
        </w:rPr>
        <w:t>X</w:t>
      </w:r>
      <w:r w:rsidR="00B15445">
        <w:t xml:space="preserve"> </w:t>
      </w:r>
      <w:r>
        <w:t>years of the expected lifetime of the programme.</w:t>
      </w:r>
    </w:p>
    <w:p w14:paraId="3803DE2C" w14:textId="77777777" w:rsidR="00F73196" w:rsidRDefault="00F73196" w:rsidP="00317C8E">
      <w:pPr>
        <w:spacing w:line="260" w:lineRule="atLeast"/>
      </w:pPr>
      <w:r>
        <w:t xml:space="preserve">The </w:t>
      </w:r>
      <w:r w:rsidRPr="007C273F">
        <w:rPr>
          <w:shd w:val="clear" w:color="auto" w:fill="FFFF00"/>
        </w:rPr>
        <w:t>[</w:t>
      </w:r>
      <w:r w:rsidR="00F14EAD" w:rsidRPr="007C273F">
        <w:rPr>
          <w:shd w:val="clear" w:color="auto" w:fill="FFFF00"/>
        </w:rPr>
        <w:t>Commissioner</w:t>
      </w:r>
      <w:r w:rsidR="006774C9" w:rsidRPr="007C273F">
        <w:rPr>
          <w:shd w:val="clear" w:color="auto" w:fill="FFFF00"/>
        </w:rPr>
        <w:t>(s)</w:t>
      </w:r>
      <w:r w:rsidR="00F14EAD" w:rsidRPr="007C273F">
        <w:rPr>
          <w:shd w:val="clear" w:color="auto" w:fill="FFFF00"/>
        </w:rPr>
        <w:t>/Chief Executive</w:t>
      </w:r>
      <w:r w:rsidR="006774C9" w:rsidRPr="007C273F">
        <w:rPr>
          <w:shd w:val="clear" w:color="auto" w:fill="FFFF00"/>
        </w:rPr>
        <w:t>(s)</w:t>
      </w:r>
      <w:r w:rsidR="00096E3C" w:rsidRPr="007C273F">
        <w:rPr>
          <w:shd w:val="clear" w:color="auto" w:fill="FFFF00"/>
        </w:rPr>
        <w:t>/Senior Responsible Owner (SRO</w:t>
      </w:r>
      <w:r w:rsidR="00096E3C" w:rsidRPr="007C273F">
        <w:rPr>
          <w:i/>
          <w:highlight w:val="yellow"/>
          <w:shd w:val="clear" w:color="auto" w:fill="FFFF00"/>
        </w:rPr>
        <w:t>)</w:t>
      </w:r>
      <w:r w:rsidRPr="007C273F">
        <w:rPr>
          <w:i/>
          <w:highlight w:val="yellow"/>
          <w:shd w:val="clear" w:color="auto" w:fill="FFFF00"/>
        </w:rPr>
        <w:t>]</w:t>
      </w:r>
      <w:r w:rsidRPr="007C273F">
        <w:rPr>
          <w:i/>
          <w:highlight w:val="yellow"/>
        </w:rPr>
        <w:t xml:space="preserve"> </w:t>
      </w:r>
      <w:r w:rsidRPr="007C273F">
        <w:rPr>
          <w:highlight w:val="yellow"/>
        </w:rPr>
        <w:t>has</w:t>
      </w:r>
      <w:r w:rsidR="006774C9" w:rsidRPr="007C273F">
        <w:rPr>
          <w:highlight w:val="yellow"/>
        </w:rPr>
        <w:t>/have</w:t>
      </w:r>
      <w:r>
        <w:t xml:space="preserve"> signified </w:t>
      </w:r>
      <w:r w:rsidRPr="00F14EAD">
        <w:rPr>
          <w:shd w:val="clear" w:color="auto" w:fill="FFFF00"/>
        </w:rPr>
        <w:t>his/her</w:t>
      </w:r>
      <w:r w:rsidR="006774C9">
        <w:rPr>
          <w:shd w:val="clear" w:color="auto" w:fill="FFFF00"/>
        </w:rPr>
        <w:t>/their</w:t>
      </w:r>
      <w:r>
        <w:t xml:space="preserve"> agreement to the required level of funding required</w:t>
      </w:r>
      <w:r w:rsidR="005518C2">
        <w:t>.</w:t>
      </w:r>
      <w:r>
        <w:t xml:space="preserve"> </w:t>
      </w:r>
      <w:r w:rsidR="007C273F">
        <w:t xml:space="preserve"> </w:t>
      </w:r>
      <w:r>
        <w:t xml:space="preserve">The </w:t>
      </w:r>
      <w:r w:rsidR="006774C9" w:rsidRPr="007C273F">
        <w:rPr>
          <w:highlight w:val="yellow"/>
        </w:rPr>
        <w:t>Commissioner’s</w:t>
      </w:r>
      <w:r w:rsidR="00096E3C" w:rsidRPr="007C273F">
        <w:rPr>
          <w:highlight w:val="yellow"/>
        </w:rPr>
        <w:t xml:space="preserve">/Chief </w:t>
      </w:r>
      <w:proofErr w:type="gramStart"/>
      <w:r w:rsidR="00096E3C" w:rsidRPr="007C273F">
        <w:rPr>
          <w:highlight w:val="yellow"/>
        </w:rPr>
        <w:t>Executive(</w:t>
      </w:r>
      <w:proofErr w:type="gramEnd"/>
      <w:r w:rsidR="00096E3C" w:rsidRPr="007C273F">
        <w:rPr>
          <w:highlight w:val="yellow"/>
        </w:rPr>
        <w:t>‘s/s’)/SRO’s</w:t>
      </w:r>
      <w:r w:rsidR="006774C9">
        <w:t xml:space="preserve"> </w:t>
      </w:r>
      <w:r>
        <w:t>letter is attached</w:t>
      </w:r>
      <w:r w:rsidR="00C155A3">
        <w:t xml:space="preserve"> as </w:t>
      </w:r>
      <w:hyperlink w:anchor="_Annex_1:_Commissioner(’s’s)" w:history="1">
        <w:r w:rsidR="00C155A3" w:rsidRPr="00C155A3">
          <w:rPr>
            <w:rStyle w:val="Hyperlink"/>
          </w:rPr>
          <w:t>Annex 1</w:t>
        </w:r>
      </w:hyperlink>
      <w:r>
        <w:t>.</w:t>
      </w:r>
    </w:p>
    <w:p w14:paraId="076F1F3F" w14:textId="77777777" w:rsidR="006318EA" w:rsidRDefault="00993F59" w:rsidP="00F63986">
      <w:hyperlink w:anchor="_The_Chief_Executive’s_1" w:history="1">
        <w:r w:rsidR="00C155A3" w:rsidRPr="00C155A3">
          <w:rPr>
            <w:rStyle w:val="Hyperlink"/>
          </w:rPr>
          <w:t>&lt;</w:t>
        </w:r>
        <w:proofErr w:type="gramStart"/>
        <w:r w:rsidR="00C155A3" w:rsidRPr="00C155A3">
          <w:rPr>
            <w:rStyle w:val="Hyperlink"/>
          </w:rPr>
          <w:t>go</w:t>
        </w:r>
        <w:proofErr w:type="gramEnd"/>
        <w:r w:rsidR="00C155A3" w:rsidRPr="00C155A3">
          <w:rPr>
            <w:rStyle w:val="Hyperlink"/>
          </w:rPr>
          <w:t xml:space="preserve"> to guidance&gt;</w:t>
        </w:r>
      </w:hyperlink>
    </w:p>
    <w:p w14:paraId="4D0E5E85" w14:textId="27678794" w:rsidR="00844C42" w:rsidRDefault="00844C42" w:rsidP="006E4FDB">
      <w:pPr>
        <w:pStyle w:val="Heading1"/>
      </w:pPr>
      <w:bookmarkStart w:id="87" w:name="_Management_Case_&lt;link"/>
      <w:bookmarkStart w:id="88" w:name="_Management_Case_–"/>
      <w:bookmarkStart w:id="89" w:name="_Toc50549000"/>
      <w:bookmarkStart w:id="90" w:name="_Toc381007696"/>
      <w:bookmarkEnd w:id="87"/>
      <w:bookmarkEnd w:id="88"/>
      <w:r w:rsidRPr="00D17BFC">
        <w:lastRenderedPageBreak/>
        <w:t>Management Case</w:t>
      </w:r>
      <w:r w:rsidR="006929F1">
        <w:t xml:space="preserve"> –</w:t>
      </w:r>
      <w:r w:rsidR="0036357D">
        <w:t xml:space="preserve"> </w:t>
      </w:r>
      <w:r w:rsidR="00C920B0">
        <w:t>p</w:t>
      </w:r>
      <w:r w:rsidR="00097A2D">
        <w:t>lanning for</w:t>
      </w:r>
      <w:r w:rsidR="00794958">
        <w:t xml:space="preserve"> successful delivery</w:t>
      </w:r>
      <w:bookmarkEnd w:id="89"/>
      <w:r w:rsidRPr="00D17BFC">
        <w:t xml:space="preserve"> </w:t>
      </w:r>
    </w:p>
    <w:p w14:paraId="2450A3A7" w14:textId="5C17AF96" w:rsidR="007C5CEC" w:rsidRPr="007C5CEC" w:rsidRDefault="00993F59" w:rsidP="007C5CEC">
      <w:pPr>
        <w:spacing w:line="260" w:lineRule="atLeast"/>
      </w:pPr>
      <w:hyperlink w:anchor="_Management_Case_–_1" w:history="1">
        <w:r w:rsidR="007C5CEC" w:rsidRPr="007C5CEC">
          <w:rPr>
            <w:rStyle w:val="Hyperlink"/>
          </w:rPr>
          <w:t>&lt;</w:t>
        </w:r>
        <w:proofErr w:type="gramStart"/>
        <w:r w:rsidR="007C5CEC" w:rsidRPr="007C5CEC">
          <w:rPr>
            <w:rStyle w:val="Hyperlink"/>
          </w:rPr>
          <w:t>go</w:t>
        </w:r>
        <w:proofErr w:type="gramEnd"/>
        <w:r w:rsidR="007C5CEC" w:rsidRPr="007C5CEC">
          <w:rPr>
            <w:rStyle w:val="Hyperlink"/>
          </w:rPr>
          <w:t xml:space="preserve"> to guidance&gt;</w:t>
        </w:r>
      </w:hyperlink>
    </w:p>
    <w:bookmarkEnd w:id="90"/>
    <w:p w14:paraId="4DD14988" w14:textId="44A304A0" w:rsidR="009C0616" w:rsidRPr="009C0616" w:rsidRDefault="00F20B6E" w:rsidP="00122AD6">
      <w:pPr>
        <w:pBdr>
          <w:top w:val="single" w:sz="4" w:space="1" w:color="auto"/>
          <w:left w:val="single" w:sz="4" w:space="4" w:color="auto"/>
          <w:bottom w:val="single" w:sz="4" w:space="5" w:color="auto"/>
          <w:right w:val="single" w:sz="4" w:space="4" w:color="auto"/>
        </w:pBdr>
        <w:shd w:val="clear" w:color="auto" w:fill="FFFF00"/>
        <w:spacing w:line="260" w:lineRule="atLeast"/>
        <w:rPr>
          <w:rStyle w:val="Emphasis"/>
          <w:i w:val="0"/>
          <w:color w:val="000000"/>
        </w:rPr>
      </w:pPr>
      <w:r w:rsidRPr="00C66E74">
        <w:rPr>
          <w:rStyle w:val="Emphasis"/>
          <w:i w:val="0"/>
          <w:color w:val="000000"/>
        </w:rPr>
        <w:t xml:space="preserve">This section </w:t>
      </w:r>
      <w:r w:rsidR="007C7054" w:rsidRPr="00C66E74">
        <w:rPr>
          <w:rStyle w:val="Emphasis"/>
          <w:i w:val="0"/>
          <w:color w:val="000000"/>
        </w:rPr>
        <w:t>confirms that the proposed investment is achievable and details the arrangements needed to both ensure successful delivery and to manage project risks.</w:t>
      </w:r>
      <w:r w:rsidR="007C273F" w:rsidRPr="00C66E74">
        <w:rPr>
          <w:rStyle w:val="Emphasis"/>
          <w:i w:val="0"/>
          <w:color w:val="000000"/>
        </w:rPr>
        <w:t xml:space="preserve"> </w:t>
      </w:r>
      <w:r w:rsidR="007C7054" w:rsidRPr="00C66E74">
        <w:rPr>
          <w:rStyle w:val="Emphasis"/>
          <w:i w:val="0"/>
          <w:color w:val="000000"/>
        </w:rPr>
        <w:t xml:space="preserve"> </w:t>
      </w:r>
      <w:r w:rsidR="00246780" w:rsidRPr="00C66E74">
        <w:rPr>
          <w:rStyle w:val="Emphasis"/>
          <w:i w:val="0"/>
          <w:color w:val="000000"/>
        </w:rPr>
        <w:t xml:space="preserve">This section </w:t>
      </w:r>
      <w:r w:rsidR="00A5266B" w:rsidRPr="00C66E74">
        <w:rPr>
          <w:rStyle w:val="Emphasis"/>
          <w:i w:val="0"/>
          <w:color w:val="000000"/>
        </w:rPr>
        <w:t xml:space="preserve">must match and should summarise the project/tranche’s </w:t>
      </w:r>
      <w:r w:rsidR="00246780" w:rsidRPr="00C66E74">
        <w:rPr>
          <w:rStyle w:val="Emphasis"/>
          <w:i w:val="0"/>
          <w:color w:val="000000"/>
        </w:rPr>
        <w:t xml:space="preserve">Project Management Plan </w:t>
      </w:r>
      <w:r w:rsidR="007D2D83" w:rsidRPr="00C66E74">
        <w:rPr>
          <w:rStyle w:val="Emphasis"/>
          <w:i w:val="0"/>
          <w:color w:val="000000"/>
        </w:rPr>
        <w:t>(or equivalent document)</w:t>
      </w:r>
      <w:r w:rsidR="00246780" w:rsidRPr="00C66E74">
        <w:rPr>
          <w:rStyle w:val="Emphasis"/>
          <w:i w:val="0"/>
          <w:color w:val="000000"/>
        </w:rPr>
        <w:t xml:space="preserve">. </w:t>
      </w:r>
      <w:r w:rsidR="009C0616" w:rsidRPr="009C0616">
        <w:rPr>
          <w:rStyle w:val="Emphasis"/>
          <w:i w:val="0"/>
          <w:color w:val="000000"/>
        </w:rPr>
        <w:t xml:space="preserve"> </w:t>
      </w:r>
    </w:p>
    <w:p w14:paraId="20AFF07E" w14:textId="08300CA5" w:rsidR="00F20B6E" w:rsidRPr="007D2D83" w:rsidRDefault="00F20B6E" w:rsidP="00122AD6">
      <w:pPr>
        <w:pBdr>
          <w:top w:val="single" w:sz="4" w:space="1" w:color="auto"/>
          <w:left w:val="single" w:sz="4" w:space="4" w:color="auto"/>
          <w:bottom w:val="single" w:sz="4" w:space="5" w:color="auto"/>
          <w:right w:val="single" w:sz="4" w:space="4" w:color="auto"/>
        </w:pBdr>
        <w:shd w:val="clear" w:color="auto" w:fill="FFFF00"/>
        <w:spacing w:line="260" w:lineRule="atLeast"/>
        <w:rPr>
          <w:rStyle w:val="Emphasis"/>
          <w:i w:val="0"/>
        </w:rPr>
      </w:pPr>
      <w:r w:rsidRPr="00C66E74">
        <w:rPr>
          <w:rStyle w:val="Emphasis"/>
          <w:i w:val="0"/>
          <w:color w:val="000000"/>
        </w:rPr>
        <w:t>Th</w:t>
      </w:r>
      <w:r w:rsidR="004D354B" w:rsidRPr="00C66E74">
        <w:rPr>
          <w:rStyle w:val="Emphasis"/>
          <w:i w:val="0"/>
          <w:color w:val="000000"/>
        </w:rPr>
        <w:t>e Management Case</w:t>
      </w:r>
      <w:r w:rsidRPr="00C66E74">
        <w:rPr>
          <w:rStyle w:val="Emphasis"/>
          <w:i w:val="0"/>
          <w:color w:val="000000"/>
        </w:rPr>
        <w:t xml:space="preserve"> </w:t>
      </w:r>
      <w:r w:rsidR="00C064BB">
        <w:rPr>
          <w:rStyle w:val="Emphasis"/>
          <w:i w:val="0"/>
          <w:color w:val="000000"/>
        </w:rPr>
        <w:t>shows how the agency has</w:t>
      </w:r>
      <w:r w:rsidR="009049DE">
        <w:rPr>
          <w:rStyle w:val="Emphasis"/>
          <w:i w:val="0"/>
          <w:color w:val="000000"/>
        </w:rPr>
        <w:t>,</w:t>
      </w:r>
      <w:r w:rsidR="00C064BB">
        <w:rPr>
          <w:rStyle w:val="Emphasis"/>
          <w:i w:val="0"/>
          <w:color w:val="000000"/>
        </w:rPr>
        <w:t xml:space="preserve"> or </w:t>
      </w:r>
      <w:r w:rsidR="009049DE">
        <w:rPr>
          <w:rStyle w:val="Emphasis"/>
          <w:i w:val="0"/>
          <w:color w:val="000000"/>
        </w:rPr>
        <w:t>plans</w:t>
      </w:r>
      <w:r w:rsidR="00C064BB">
        <w:rPr>
          <w:rStyle w:val="Emphasis"/>
          <w:i w:val="0"/>
          <w:color w:val="000000"/>
        </w:rPr>
        <w:t xml:space="preserve"> to develop</w:t>
      </w:r>
      <w:r w:rsidR="009049DE">
        <w:rPr>
          <w:rStyle w:val="Emphasis"/>
          <w:i w:val="0"/>
          <w:color w:val="000000"/>
        </w:rPr>
        <w:t>,</w:t>
      </w:r>
      <w:r w:rsidR="00C064BB">
        <w:rPr>
          <w:rStyle w:val="Emphasis"/>
          <w:i w:val="0"/>
          <w:color w:val="000000"/>
        </w:rPr>
        <w:t xml:space="preserve"> capacity and capability to deliver the </w:t>
      </w:r>
      <w:r w:rsidRPr="00C66E74">
        <w:rPr>
          <w:rStyle w:val="Emphasis"/>
          <w:i w:val="0"/>
          <w:color w:val="000000"/>
        </w:rPr>
        <w:t>project</w:t>
      </w:r>
      <w:r w:rsidR="005F6B64" w:rsidRPr="00C66E74">
        <w:rPr>
          <w:rStyle w:val="Emphasis"/>
          <w:i w:val="0"/>
          <w:color w:val="000000"/>
        </w:rPr>
        <w:t>/tranche</w:t>
      </w:r>
      <w:r w:rsidRPr="00C66E74">
        <w:rPr>
          <w:rStyle w:val="Emphasis"/>
          <w:i w:val="0"/>
          <w:color w:val="000000"/>
        </w:rPr>
        <w:t>, respecting existing environm</w:t>
      </w:r>
      <w:r w:rsidR="007C7054" w:rsidRPr="00C66E74">
        <w:rPr>
          <w:rStyle w:val="Emphasis"/>
          <w:i w:val="0"/>
          <w:color w:val="000000"/>
        </w:rPr>
        <w:t>ental and social safeguards, and showing</w:t>
      </w:r>
      <w:r w:rsidRPr="00C66E74">
        <w:rPr>
          <w:rStyle w:val="Emphasis"/>
          <w:i w:val="0"/>
          <w:color w:val="000000"/>
        </w:rPr>
        <w:t xml:space="preserve"> that the project</w:t>
      </w:r>
      <w:r w:rsidR="005F6B64" w:rsidRPr="00C66E74">
        <w:rPr>
          <w:rStyle w:val="Emphasis"/>
          <w:i w:val="0"/>
          <w:color w:val="000000"/>
        </w:rPr>
        <w:t>/tranche</w:t>
      </w:r>
      <w:r w:rsidRPr="00C66E74">
        <w:rPr>
          <w:rStyle w:val="Emphasis"/>
          <w:i w:val="0"/>
          <w:color w:val="000000"/>
        </w:rPr>
        <w:t xml:space="preserve"> will be properly staffed and resourced over its lifetime, with appropriate governance arrangements, management and advice to produce a successful outcome</w:t>
      </w:r>
      <w:r w:rsidR="00A5266B" w:rsidRPr="007D2D83">
        <w:rPr>
          <w:rStyle w:val="Emphasis"/>
          <w:i w:val="0"/>
        </w:rPr>
        <w:t>.</w:t>
      </w:r>
    </w:p>
    <w:p w14:paraId="4E2A5E91" w14:textId="713A338C" w:rsidR="009049DE" w:rsidRDefault="006055D7"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6055D7">
        <w:rPr>
          <w:rStyle w:val="Emphasis"/>
        </w:rPr>
        <w:t xml:space="preserve">Revisit and </w:t>
      </w:r>
      <w:r w:rsidR="007C5CEC">
        <w:rPr>
          <w:rStyle w:val="Emphasis"/>
        </w:rPr>
        <w:t>finalise</w:t>
      </w:r>
      <w:r w:rsidRPr="006055D7">
        <w:rPr>
          <w:rStyle w:val="Emphasis"/>
        </w:rPr>
        <w:t xml:space="preserve"> the project management arrangements outlined in the </w:t>
      </w:r>
      <w:r w:rsidR="00BC4A43">
        <w:rPr>
          <w:rStyle w:val="Emphasis"/>
        </w:rPr>
        <w:t>previous</w:t>
      </w:r>
      <w:r w:rsidRPr="006055D7">
        <w:rPr>
          <w:rStyle w:val="Emphasis"/>
        </w:rPr>
        <w:t xml:space="preserve"> </w:t>
      </w:r>
      <w:r w:rsidR="00BC4A43">
        <w:rPr>
          <w:rStyle w:val="Emphasis"/>
        </w:rPr>
        <w:t>business c</w:t>
      </w:r>
      <w:r w:rsidRPr="006055D7">
        <w:rPr>
          <w:rStyle w:val="Emphasis"/>
        </w:rPr>
        <w:t xml:space="preserve">ase. </w:t>
      </w:r>
      <w:r w:rsidR="007C273F">
        <w:rPr>
          <w:rStyle w:val="Emphasis"/>
        </w:rPr>
        <w:t xml:space="preserve"> </w:t>
      </w:r>
      <w:r w:rsidRPr="006055D7">
        <w:rPr>
          <w:rStyle w:val="Emphasis"/>
        </w:rPr>
        <w:t xml:space="preserve">The focus </w:t>
      </w:r>
      <w:r w:rsidR="00ED4155">
        <w:rPr>
          <w:rStyle w:val="Emphasis"/>
        </w:rPr>
        <w:t>has shifted</w:t>
      </w:r>
      <w:r w:rsidRPr="006055D7">
        <w:rPr>
          <w:rStyle w:val="Emphasis"/>
        </w:rPr>
        <w:t xml:space="preserve"> from the</w:t>
      </w:r>
      <w:r w:rsidR="009049DE">
        <w:rPr>
          <w:rStyle w:val="Emphasis"/>
        </w:rPr>
        <w:t xml:space="preserve"> strategy and frameworks stage to </w:t>
      </w:r>
      <w:r w:rsidRPr="006055D7">
        <w:rPr>
          <w:rStyle w:val="Emphasis"/>
        </w:rPr>
        <w:t>the detailed ar</w:t>
      </w:r>
      <w:r w:rsidR="00ED4155">
        <w:rPr>
          <w:rStyle w:val="Emphasis"/>
        </w:rPr>
        <w:t>rangements for project</w:t>
      </w:r>
      <w:r w:rsidR="00B2430A">
        <w:rPr>
          <w:rStyle w:val="Emphasis"/>
        </w:rPr>
        <w:t xml:space="preserve"> delivery (build/</w:t>
      </w:r>
      <w:r w:rsidRPr="006055D7">
        <w:rPr>
          <w:rStyle w:val="Emphasis"/>
        </w:rPr>
        <w:t>implementation</w:t>
      </w:r>
      <w:r w:rsidR="00B2430A">
        <w:rPr>
          <w:rStyle w:val="Emphasis"/>
        </w:rPr>
        <w:t>)</w:t>
      </w:r>
      <w:r w:rsidRPr="006055D7">
        <w:rPr>
          <w:rStyle w:val="Emphasis"/>
        </w:rPr>
        <w:t xml:space="preserve"> phases.</w:t>
      </w:r>
      <w:r w:rsidR="00723338">
        <w:rPr>
          <w:rStyle w:val="Emphasis"/>
        </w:rPr>
        <w:t xml:space="preserve"> </w:t>
      </w:r>
    </w:p>
    <w:p w14:paraId="6F5FA304" w14:textId="5B668309" w:rsidR="00BC4A43" w:rsidRPr="00996D0A" w:rsidRDefault="00BC4A43" w:rsidP="00996D0A">
      <w:pPr>
        <w:pStyle w:val="Heading3"/>
        <w:rPr>
          <w:rStyle w:val="Emphasis"/>
          <w:i w:val="0"/>
          <w:iCs w:val="0"/>
          <w:color w:val="002469"/>
          <w:sz w:val="24"/>
        </w:rPr>
      </w:pPr>
      <w:r w:rsidRPr="00996D0A">
        <w:rPr>
          <w:rStyle w:val="Emphasis"/>
          <w:i w:val="0"/>
          <w:iCs w:val="0"/>
          <w:color w:val="002469"/>
          <w:sz w:val="24"/>
        </w:rPr>
        <w:t>Project</w:t>
      </w:r>
      <w:r w:rsidR="00976FB3" w:rsidRPr="00996D0A">
        <w:rPr>
          <w:rStyle w:val="Emphasis"/>
          <w:i w:val="0"/>
          <w:iCs w:val="0"/>
          <w:color w:val="002469"/>
          <w:sz w:val="24"/>
        </w:rPr>
        <w:t xml:space="preserve"> and programme</w:t>
      </w:r>
      <w:r w:rsidRPr="00996D0A">
        <w:rPr>
          <w:rStyle w:val="Emphasis"/>
          <w:i w:val="0"/>
          <w:iCs w:val="0"/>
          <w:color w:val="002469"/>
          <w:sz w:val="24"/>
        </w:rPr>
        <w:t xml:space="preserve"> management</w:t>
      </w:r>
      <w:r w:rsidR="00C54D9D" w:rsidRPr="00996D0A">
        <w:rPr>
          <w:rStyle w:val="Emphasis"/>
          <w:i w:val="0"/>
          <w:iCs w:val="0"/>
          <w:color w:val="002469"/>
          <w:sz w:val="24"/>
        </w:rPr>
        <w:t xml:space="preserve"> </w:t>
      </w:r>
    </w:p>
    <w:p w14:paraId="42FDD2D4" w14:textId="46F153F4" w:rsidR="00B2430A" w:rsidRPr="00317C8E" w:rsidRDefault="00D35F23" w:rsidP="00122AD6">
      <w:pPr>
        <w:spacing w:line="260" w:lineRule="atLeast"/>
        <w:rPr>
          <w:rStyle w:val="Emphasis"/>
          <w:i w:val="0"/>
          <w:color w:val="000000" w:themeColor="text1"/>
          <w:sz w:val="22"/>
          <w:szCs w:val="22"/>
        </w:rPr>
      </w:pPr>
      <w:r w:rsidRPr="00317C8E">
        <w:rPr>
          <w:rStyle w:val="Emphasis"/>
          <w:i w:val="0"/>
          <w:sz w:val="22"/>
          <w:szCs w:val="22"/>
        </w:rPr>
        <w:t>T</w:t>
      </w:r>
      <w:r w:rsidR="00B2430A" w:rsidRPr="00317C8E">
        <w:rPr>
          <w:rStyle w:val="Emphasis"/>
          <w:i w:val="0"/>
          <w:sz w:val="22"/>
          <w:szCs w:val="22"/>
        </w:rPr>
        <w:t xml:space="preserve">he approach and methodology are </w:t>
      </w:r>
      <w:r w:rsidR="00126014" w:rsidRPr="00317C8E">
        <w:rPr>
          <w:rStyle w:val="Emphasis"/>
          <w:iCs w:val="0"/>
          <w:color w:val="0000FF"/>
          <w:sz w:val="22"/>
          <w:szCs w:val="22"/>
        </w:rPr>
        <w:t xml:space="preserve">(keep this short – no more than half a page </w:t>
      </w:r>
      <w:r w:rsidR="00B2430A" w:rsidRPr="00317C8E">
        <w:rPr>
          <w:rStyle w:val="Emphasis"/>
          <w:i w:val="0"/>
          <w:color w:val="000000" w:themeColor="text1"/>
          <w:sz w:val="22"/>
          <w:szCs w:val="22"/>
          <w:highlight w:val="yellow"/>
        </w:rPr>
        <w:t>……</w:t>
      </w:r>
    </w:p>
    <w:p w14:paraId="2E48F004" w14:textId="77777777" w:rsidR="00126014" w:rsidRDefault="00126014"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17C8E">
        <w:rPr>
          <w:rStyle w:val="Emphasis"/>
          <w:u w:val="single"/>
        </w:rPr>
        <w:t>Briefly</w:t>
      </w:r>
      <w:r w:rsidRPr="00317C8E">
        <w:rPr>
          <w:rStyle w:val="Emphasis"/>
        </w:rPr>
        <w:t xml:space="preserve"> </w:t>
      </w:r>
      <w:r>
        <w:rPr>
          <w:rStyle w:val="Emphasis"/>
        </w:rPr>
        <w:t>explain the delivery methodology/techniques (such as Agile/</w:t>
      </w:r>
      <w:proofErr w:type="spellStart"/>
      <w:r>
        <w:rPr>
          <w:rStyle w:val="Emphasis"/>
        </w:rPr>
        <w:t>SAFe</w:t>
      </w:r>
      <w:proofErr w:type="spellEnd"/>
      <w:r>
        <w:rPr>
          <w:rStyle w:val="Emphasis"/>
        </w:rPr>
        <w:t>, traditional development) and how the chosen methodology optimises delivery of the project/tranche.</w:t>
      </w:r>
    </w:p>
    <w:p w14:paraId="40E518EF" w14:textId="78485F41" w:rsidR="00126014" w:rsidRPr="00317C8E" w:rsidRDefault="00126014" w:rsidP="00122AD6">
      <w:pPr>
        <w:spacing w:line="260" w:lineRule="atLeast"/>
        <w:rPr>
          <w:szCs w:val="22"/>
        </w:rPr>
      </w:pPr>
      <w:r w:rsidRPr="00317C8E">
        <w:rPr>
          <w:szCs w:val="22"/>
        </w:rPr>
        <w:t xml:space="preserve">The organisation’s experience with similar investments is </w:t>
      </w:r>
      <w:r w:rsidRPr="00317C8E">
        <w:rPr>
          <w:rStyle w:val="Emphasis"/>
          <w:color w:val="0000FF"/>
          <w:sz w:val="22"/>
          <w:szCs w:val="22"/>
        </w:rPr>
        <w:t>describe; if none, what arrangements have been made to ensure successful delivery?</w:t>
      </w:r>
      <w:r w:rsidR="00C920B0" w:rsidRPr="00317C8E">
        <w:rPr>
          <w:rStyle w:val="Emphasis"/>
          <w:color w:val="0000FF"/>
          <w:sz w:val="22"/>
          <w:szCs w:val="22"/>
        </w:rPr>
        <w:t xml:space="preserve"> (</w:t>
      </w:r>
      <w:proofErr w:type="spellStart"/>
      <w:proofErr w:type="gramStart"/>
      <w:r w:rsidR="00C920B0" w:rsidRPr="00317C8E">
        <w:rPr>
          <w:rStyle w:val="Emphasis"/>
          <w:color w:val="0000FF"/>
          <w:sz w:val="22"/>
          <w:szCs w:val="22"/>
        </w:rPr>
        <w:t>eg</w:t>
      </w:r>
      <w:proofErr w:type="spellEnd"/>
      <w:proofErr w:type="gramEnd"/>
      <w:r w:rsidR="00C920B0" w:rsidRPr="00317C8E">
        <w:rPr>
          <w:rStyle w:val="Emphasis"/>
          <w:color w:val="0000FF"/>
          <w:sz w:val="22"/>
          <w:szCs w:val="22"/>
        </w:rPr>
        <w:t xml:space="preserve"> contract in </w:t>
      </w:r>
      <w:r w:rsidR="00B0578D" w:rsidRPr="00317C8E">
        <w:rPr>
          <w:rStyle w:val="Emphasis"/>
          <w:color w:val="0000FF"/>
          <w:sz w:val="22"/>
          <w:szCs w:val="22"/>
        </w:rPr>
        <w:t xml:space="preserve">an </w:t>
      </w:r>
      <w:r w:rsidR="00C920B0" w:rsidRPr="00317C8E">
        <w:rPr>
          <w:rStyle w:val="Emphasis"/>
          <w:color w:val="0000FF"/>
          <w:sz w:val="22"/>
          <w:szCs w:val="22"/>
        </w:rPr>
        <w:t xml:space="preserve">experienced Project Director, experienced external </w:t>
      </w:r>
      <w:r w:rsidR="00B0578D" w:rsidRPr="00317C8E">
        <w:rPr>
          <w:rStyle w:val="Emphasis"/>
          <w:color w:val="0000FF"/>
          <w:sz w:val="22"/>
          <w:szCs w:val="22"/>
        </w:rPr>
        <w:t xml:space="preserve">people </w:t>
      </w:r>
      <w:r w:rsidR="00C920B0" w:rsidRPr="00317C8E">
        <w:rPr>
          <w:rStyle w:val="Emphasis"/>
          <w:color w:val="0000FF"/>
          <w:sz w:val="22"/>
          <w:szCs w:val="22"/>
        </w:rPr>
        <w:t xml:space="preserve">on </w:t>
      </w:r>
      <w:r w:rsidR="00B0578D" w:rsidRPr="00317C8E">
        <w:rPr>
          <w:rStyle w:val="Emphasis"/>
          <w:color w:val="0000FF"/>
          <w:sz w:val="22"/>
          <w:szCs w:val="22"/>
        </w:rPr>
        <w:t xml:space="preserve">the </w:t>
      </w:r>
      <w:r w:rsidR="00C920B0" w:rsidRPr="00317C8E">
        <w:rPr>
          <w:rStyle w:val="Emphasis"/>
          <w:color w:val="0000FF"/>
          <w:sz w:val="22"/>
          <w:szCs w:val="22"/>
        </w:rPr>
        <w:t xml:space="preserve">governance board, </w:t>
      </w:r>
      <w:r w:rsidR="00B0578D" w:rsidRPr="00317C8E">
        <w:rPr>
          <w:rStyle w:val="Emphasis"/>
          <w:color w:val="0000FF"/>
          <w:sz w:val="22"/>
          <w:szCs w:val="22"/>
        </w:rPr>
        <w:t xml:space="preserve">establishment of a PMO with appropriately experienced advisors to assist the project, </w:t>
      </w:r>
      <w:r w:rsidR="00C920B0" w:rsidRPr="00317C8E">
        <w:rPr>
          <w:rStyle w:val="Emphasis"/>
          <w:color w:val="0000FF"/>
          <w:sz w:val="22"/>
          <w:szCs w:val="22"/>
        </w:rPr>
        <w:t>etc.)</w:t>
      </w:r>
    </w:p>
    <w:p w14:paraId="7AE54D20" w14:textId="77777777" w:rsidR="00126014" w:rsidRPr="00996D0A" w:rsidRDefault="00126014" w:rsidP="00996D0A">
      <w:pPr>
        <w:pStyle w:val="Heading3"/>
        <w:rPr>
          <w:rStyle w:val="Emphasis"/>
          <w:i w:val="0"/>
          <w:iCs w:val="0"/>
          <w:color w:val="002469"/>
          <w:sz w:val="24"/>
        </w:rPr>
      </w:pPr>
      <w:r w:rsidRPr="00996D0A">
        <w:rPr>
          <w:rStyle w:val="Emphasis"/>
          <w:i w:val="0"/>
          <w:iCs w:val="0"/>
          <w:color w:val="002469"/>
          <w:sz w:val="24"/>
        </w:rPr>
        <w:t>Project and programme governance</w:t>
      </w:r>
    </w:p>
    <w:p w14:paraId="7E01ADC9" w14:textId="77777777" w:rsidR="00126014" w:rsidRPr="00317C8E" w:rsidRDefault="00126014" w:rsidP="00122AD6">
      <w:pPr>
        <w:spacing w:line="260" w:lineRule="atLeast"/>
        <w:rPr>
          <w:rStyle w:val="Emphasis"/>
          <w:iCs w:val="0"/>
          <w:sz w:val="22"/>
          <w:szCs w:val="22"/>
        </w:rPr>
      </w:pPr>
      <w:r w:rsidRPr="00317C8E">
        <w:rPr>
          <w:rStyle w:val="Emphasis"/>
          <w:i w:val="0"/>
          <w:sz w:val="22"/>
          <w:szCs w:val="22"/>
        </w:rPr>
        <w:t xml:space="preserve">The Senior Responsible Owner is </w:t>
      </w:r>
      <w:r w:rsidRPr="00317C8E">
        <w:rPr>
          <w:rStyle w:val="Emphasis"/>
          <w:iCs w:val="0"/>
          <w:color w:val="0000FF"/>
          <w:sz w:val="22"/>
          <w:szCs w:val="22"/>
        </w:rPr>
        <w:t>name, title</w:t>
      </w:r>
    </w:p>
    <w:p w14:paraId="076E5B37" w14:textId="1557DB01" w:rsidR="00126014" w:rsidRPr="00317C8E" w:rsidRDefault="00126014" w:rsidP="00122AD6">
      <w:pPr>
        <w:spacing w:line="260" w:lineRule="atLeast"/>
        <w:rPr>
          <w:rStyle w:val="Emphasis"/>
          <w:i w:val="0"/>
          <w:sz w:val="22"/>
          <w:szCs w:val="22"/>
        </w:rPr>
      </w:pPr>
      <w:r w:rsidRPr="00317C8E">
        <w:rPr>
          <w:rStyle w:val="Emphasis"/>
          <w:i w:val="0"/>
          <w:sz w:val="22"/>
          <w:szCs w:val="22"/>
        </w:rPr>
        <w:t xml:space="preserve">The </w:t>
      </w:r>
      <w:r w:rsidRPr="00317C8E">
        <w:rPr>
          <w:rStyle w:val="Emphasis"/>
          <w:i w:val="0"/>
          <w:sz w:val="22"/>
          <w:szCs w:val="22"/>
          <w:highlight w:val="yellow"/>
        </w:rPr>
        <w:t>project/tranche</w:t>
      </w:r>
      <w:r w:rsidRPr="00317C8E">
        <w:rPr>
          <w:rStyle w:val="Emphasis"/>
          <w:i w:val="0"/>
          <w:sz w:val="22"/>
          <w:szCs w:val="22"/>
        </w:rPr>
        <w:t xml:space="preserve"> will be managed by </w:t>
      </w:r>
      <w:r w:rsidRPr="00317C8E">
        <w:rPr>
          <w:rStyle w:val="Emphasis"/>
          <w:color w:val="0033CC"/>
          <w:sz w:val="22"/>
          <w:szCs w:val="22"/>
        </w:rPr>
        <w:t>name (Project Director or Project Manager)</w:t>
      </w:r>
      <w:r w:rsidRPr="00317C8E">
        <w:rPr>
          <w:rStyle w:val="Emphasis"/>
          <w:i w:val="0"/>
          <w:sz w:val="22"/>
          <w:szCs w:val="22"/>
        </w:rPr>
        <w:t xml:space="preserve">.  </w:t>
      </w:r>
    </w:p>
    <w:p w14:paraId="50FDDB72" w14:textId="77A0334A" w:rsidR="00126014" w:rsidRPr="00317C8E" w:rsidRDefault="00126014" w:rsidP="00122AD6">
      <w:pPr>
        <w:spacing w:line="260" w:lineRule="atLeast"/>
        <w:rPr>
          <w:rStyle w:val="Emphasis"/>
          <w:i w:val="0"/>
          <w:sz w:val="22"/>
          <w:szCs w:val="22"/>
        </w:rPr>
      </w:pPr>
      <w:r w:rsidRPr="00317C8E">
        <w:rPr>
          <w:rStyle w:val="Emphasis"/>
          <w:i w:val="0"/>
          <w:sz w:val="22"/>
          <w:szCs w:val="22"/>
        </w:rPr>
        <w:t>The proposed key governance roles, responsibilities and reporting lines are outlined in the following diagram:</w:t>
      </w:r>
    </w:p>
    <w:p w14:paraId="35D8940F" w14:textId="04AF0F69" w:rsidR="00126014" w:rsidRPr="00317C8E" w:rsidRDefault="00126014" w:rsidP="00122AD6">
      <w:pPr>
        <w:pStyle w:val="TableHeading1"/>
        <w:spacing w:line="260" w:lineRule="atLeast"/>
        <w:rPr>
          <w:rStyle w:val="Emphasis"/>
          <w:b w:val="0"/>
          <w:i w:val="0"/>
          <w:sz w:val="22"/>
          <w:szCs w:val="22"/>
        </w:rPr>
      </w:pPr>
      <w:r w:rsidRPr="00317C8E">
        <w:rPr>
          <w:rStyle w:val="Emphasis"/>
          <w:i w:val="0"/>
          <w:sz w:val="22"/>
          <w:szCs w:val="22"/>
        </w:rPr>
        <w:t xml:space="preserve">Figure </w:t>
      </w:r>
      <w:r w:rsidRPr="00317C8E">
        <w:rPr>
          <w:rStyle w:val="Emphasis"/>
          <w:i w:val="0"/>
          <w:sz w:val="22"/>
          <w:szCs w:val="22"/>
          <w:highlight w:val="yellow"/>
        </w:rPr>
        <w:t>xx</w:t>
      </w:r>
      <w:r w:rsidRPr="00317C8E">
        <w:rPr>
          <w:rStyle w:val="Emphasis"/>
          <w:i w:val="0"/>
          <w:sz w:val="22"/>
          <w:szCs w:val="22"/>
        </w:rPr>
        <w:t>:</w:t>
      </w:r>
      <w:r w:rsidRPr="00317C8E">
        <w:rPr>
          <w:rStyle w:val="Emphasis"/>
          <w:b w:val="0"/>
          <w:i w:val="0"/>
          <w:sz w:val="22"/>
          <w:szCs w:val="22"/>
        </w:rPr>
        <w:t xml:space="preserve"> The project governance chart </w:t>
      </w:r>
    </w:p>
    <w:p w14:paraId="50B4CFA7" w14:textId="146D6367" w:rsidR="00126014" w:rsidRPr="00317C8E" w:rsidRDefault="00126014" w:rsidP="00122AD6">
      <w:pPr>
        <w:spacing w:line="260" w:lineRule="atLeast"/>
        <w:ind w:left="567"/>
        <w:rPr>
          <w:rStyle w:val="Emphasis"/>
          <w:color w:val="0000FF"/>
          <w:sz w:val="22"/>
          <w:szCs w:val="22"/>
        </w:rPr>
      </w:pPr>
      <w:r w:rsidRPr="00317C8E">
        <w:rPr>
          <w:rStyle w:val="Emphasis"/>
          <w:color w:val="0000FF"/>
          <w:sz w:val="22"/>
          <w:szCs w:val="22"/>
        </w:rPr>
        <w:t>Include a project organisation chart here.  Show governance roles (ELT, Project Board, SRO, Project leads) but don’t go further than team leads/product owners.  Include names to show the status of appointments, or if this gets messy provide a separate table showing positions and their recruitment status.</w:t>
      </w:r>
    </w:p>
    <w:p w14:paraId="78610395" w14:textId="4A1CFFD0" w:rsidR="009049DE" w:rsidRPr="00996D0A" w:rsidRDefault="00126014" w:rsidP="00996D0A">
      <w:pPr>
        <w:pStyle w:val="Heading3"/>
        <w:rPr>
          <w:rStyle w:val="Emphasis"/>
          <w:i w:val="0"/>
          <w:iCs w:val="0"/>
          <w:color w:val="002469"/>
          <w:sz w:val="24"/>
        </w:rPr>
      </w:pPr>
      <w:r w:rsidRPr="00996D0A">
        <w:rPr>
          <w:rStyle w:val="Emphasis"/>
          <w:i w:val="0"/>
          <w:iCs w:val="0"/>
          <w:color w:val="002469"/>
          <w:sz w:val="24"/>
        </w:rPr>
        <w:t>Timeframes</w:t>
      </w:r>
    </w:p>
    <w:p w14:paraId="4BF1E522" w14:textId="77777777" w:rsidR="00126014" w:rsidRPr="00317C8E" w:rsidRDefault="00126014"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317C8E">
        <w:rPr>
          <w:rStyle w:val="Emphasis"/>
        </w:rPr>
        <w:t xml:space="preserve">For developments using an agile development methodology, the intended deliverables may be changed or reprioritised/rescheduled between tranches.  Outline how iterations and changes to deliverables and benefits will be managed and reported. </w:t>
      </w:r>
    </w:p>
    <w:p w14:paraId="1E8DEAF4" w14:textId="7E511CA2" w:rsidR="00BC4A43" w:rsidRPr="00317C8E" w:rsidRDefault="00D35F23" w:rsidP="00122AD6">
      <w:pPr>
        <w:spacing w:line="260" w:lineRule="atLeast"/>
        <w:rPr>
          <w:rStyle w:val="Emphasis"/>
          <w:i w:val="0"/>
          <w:sz w:val="22"/>
          <w:szCs w:val="22"/>
        </w:rPr>
      </w:pPr>
      <w:r w:rsidRPr="00317C8E">
        <w:rPr>
          <w:rStyle w:val="Emphasis"/>
          <w:i w:val="0"/>
          <w:sz w:val="22"/>
          <w:szCs w:val="22"/>
        </w:rPr>
        <w:t xml:space="preserve">The following </w:t>
      </w:r>
      <w:proofErr w:type="gramStart"/>
      <w:r w:rsidRPr="00317C8E">
        <w:rPr>
          <w:rStyle w:val="Emphasis"/>
          <w:i w:val="0"/>
          <w:sz w:val="22"/>
          <w:szCs w:val="22"/>
        </w:rPr>
        <w:t>GANTT</w:t>
      </w:r>
      <w:proofErr w:type="gramEnd"/>
      <w:r w:rsidR="00BC4A43" w:rsidRPr="00317C8E">
        <w:rPr>
          <w:rStyle w:val="Emphasis"/>
          <w:i w:val="0"/>
          <w:sz w:val="22"/>
          <w:szCs w:val="22"/>
        </w:rPr>
        <w:t xml:space="preserve"> </w:t>
      </w:r>
      <w:r w:rsidR="00BC4A43" w:rsidRPr="00317C8E">
        <w:rPr>
          <w:rStyle w:val="Emphasis"/>
          <w:i w:val="0"/>
          <w:color w:val="002469"/>
          <w:sz w:val="22"/>
          <w:szCs w:val="22"/>
        </w:rPr>
        <w:t xml:space="preserve">chart </w:t>
      </w:r>
      <w:r w:rsidR="005518C2" w:rsidRPr="00317C8E">
        <w:rPr>
          <w:rStyle w:val="Emphasis"/>
          <w:color w:val="0000FF"/>
          <w:sz w:val="22"/>
          <w:szCs w:val="22"/>
        </w:rPr>
        <w:t xml:space="preserve">(or </w:t>
      </w:r>
      <w:r w:rsidR="00C54D9D" w:rsidRPr="00317C8E">
        <w:rPr>
          <w:rStyle w:val="Emphasis"/>
          <w:color w:val="0000FF"/>
          <w:sz w:val="22"/>
          <w:szCs w:val="22"/>
        </w:rPr>
        <w:t>other schedule</w:t>
      </w:r>
      <w:r w:rsidR="005518C2" w:rsidRPr="00317C8E">
        <w:rPr>
          <w:rStyle w:val="Emphasis"/>
          <w:color w:val="0000FF"/>
          <w:sz w:val="22"/>
          <w:szCs w:val="22"/>
        </w:rPr>
        <w:t xml:space="preserve"> diagram/table</w:t>
      </w:r>
      <w:r w:rsidR="00126014" w:rsidRPr="00317C8E">
        <w:rPr>
          <w:rStyle w:val="Emphasis"/>
          <w:color w:val="0000FF"/>
          <w:sz w:val="22"/>
          <w:szCs w:val="22"/>
        </w:rPr>
        <w:t xml:space="preserve">, </w:t>
      </w:r>
      <w:proofErr w:type="spellStart"/>
      <w:r w:rsidR="00126014" w:rsidRPr="00317C8E">
        <w:rPr>
          <w:rStyle w:val="Emphasis"/>
          <w:color w:val="0000FF"/>
          <w:sz w:val="22"/>
          <w:szCs w:val="22"/>
        </w:rPr>
        <w:t>eg</w:t>
      </w:r>
      <w:proofErr w:type="spellEnd"/>
      <w:r w:rsidR="00126014" w:rsidRPr="00317C8E">
        <w:rPr>
          <w:rStyle w:val="Emphasis"/>
          <w:color w:val="0000FF"/>
          <w:sz w:val="22"/>
          <w:szCs w:val="22"/>
        </w:rPr>
        <w:t xml:space="preserve"> showing</w:t>
      </w:r>
      <w:r w:rsidR="00C54D9D" w:rsidRPr="00317C8E">
        <w:rPr>
          <w:rStyle w:val="Emphasis"/>
          <w:color w:val="0000FF"/>
          <w:sz w:val="22"/>
          <w:szCs w:val="22"/>
        </w:rPr>
        <w:t xml:space="preserve"> </w:t>
      </w:r>
      <w:proofErr w:type="spellStart"/>
      <w:r w:rsidR="00C54D9D" w:rsidRPr="00317C8E">
        <w:rPr>
          <w:rStyle w:val="Emphasis"/>
          <w:color w:val="0000FF"/>
          <w:sz w:val="22"/>
          <w:szCs w:val="22"/>
        </w:rPr>
        <w:t>SAFe</w:t>
      </w:r>
      <w:proofErr w:type="spellEnd"/>
      <w:r w:rsidR="00C54D9D" w:rsidRPr="00317C8E">
        <w:rPr>
          <w:rStyle w:val="Emphasis"/>
          <w:color w:val="0000FF"/>
          <w:sz w:val="22"/>
          <w:szCs w:val="22"/>
        </w:rPr>
        <w:t xml:space="preserve"> increments</w:t>
      </w:r>
      <w:r w:rsidR="005518C2" w:rsidRPr="00317C8E">
        <w:rPr>
          <w:rStyle w:val="Emphasis"/>
          <w:color w:val="0000FF"/>
          <w:sz w:val="22"/>
          <w:szCs w:val="22"/>
        </w:rPr>
        <w:t>)</w:t>
      </w:r>
      <w:r w:rsidR="005518C2" w:rsidRPr="00317C8E">
        <w:rPr>
          <w:rStyle w:val="Emphasis"/>
          <w:i w:val="0"/>
          <w:sz w:val="22"/>
          <w:szCs w:val="22"/>
        </w:rPr>
        <w:t xml:space="preserve"> </w:t>
      </w:r>
      <w:r w:rsidR="003024B5" w:rsidRPr="00317C8E">
        <w:rPr>
          <w:rStyle w:val="Emphasis"/>
          <w:sz w:val="22"/>
          <w:szCs w:val="22"/>
        </w:rPr>
        <w:t>summarises</w:t>
      </w:r>
      <w:r w:rsidR="005518C2" w:rsidRPr="00317C8E">
        <w:rPr>
          <w:rStyle w:val="Emphasis"/>
          <w:i w:val="0"/>
          <w:sz w:val="22"/>
          <w:szCs w:val="22"/>
        </w:rPr>
        <w:t xml:space="preserve"> </w:t>
      </w:r>
      <w:r w:rsidR="00BC4A43" w:rsidRPr="00317C8E">
        <w:rPr>
          <w:rStyle w:val="Emphasis"/>
          <w:i w:val="0"/>
          <w:sz w:val="22"/>
          <w:szCs w:val="22"/>
        </w:rPr>
        <w:t xml:space="preserve">the </w:t>
      </w:r>
      <w:r w:rsidR="00B65453" w:rsidRPr="00317C8E">
        <w:rPr>
          <w:rStyle w:val="Emphasis"/>
          <w:i w:val="0"/>
          <w:sz w:val="22"/>
          <w:szCs w:val="22"/>
        </w:rPr>
        <w:t>planned delivery schedule</w:t>
      </w:r>
      <w:r w:rsidR="003024B5" w:rsidRPr="00317C8E">
        <w:rPr>
          <w:rStyle w:val="Emphasis"/>
          <w:i w:val="0"/>
          <w:sz w:val="22"/>
          <w:szCs w:val="22"/>
        </w:rPr>
        <w:t xml:space="preserve"> (timeline) and key milestones,</w:t>
      </w:r>
      <w:r w:rsidR="00BC4A43" w:rsidRPr="00317C8E">
        <w:rPr>
          <w:rStyle w:val="Emphasis"/>
          <w:i w:val="0"/>
          <w:sz w:val="22"/>
          <w:szCs w:val="22"/>
        </w:rPr>
        <w:t xml:space="preserve"> </w:t>
      </w:r>
      <w:r w:rsidR="005518C2" w:rsidRPr="00317C8E">
        <w:rPr>
          <w:rStyle w:val="Emphasis"/>
          <w:i w:val="0"/>
          <w:sz w:val="22"/>
          <w:szCs w:val="22"/>
        </w:rPr>
        <w:t xml:space="preserve">aligned </w:t>
      </w:r>
      <w:r w:rsidR="00BC4A43" w:rsidRPr="00317C8E">
        <w:rPr>
          <w:rStyle w:val="Emphasis"/>
          <w:i w:val="0"/>
          <w:sz w:val="22"/>
          <w:szCs w:val="22"/>
        </w:rPr>
        <w:t xml:space="preserve">with timelines supplied by the preferred </w:t>
      </w:r>
      <w:r w:rsidR="00C54D9D" w:rsidRPr="00317C8E">
        <w:rPr>
          <w:rStyle w:val="Emphasis"/>
          <w:i w:val="0"/>
          <w:sz w:val="22"/>
          <w:szCs w:val="22"/>
        </w:rPr>
        <w:t>supplier</w:t>
      </w:r>
      <w:r w:rsidR="003024B5" w:rsidRPr="00317C8E">
        <w:rPr>
          <w:rStyle w:val="Emphasis"/>
          <w:i w:val="0"/>
          <w:sz w:val="22"/>
          <w:szCs w:val="22"/>
        </w:rPr>
        <w:t>s</w:t>
      </w:r>
      <w:r w:rsidR="00BC4A43" w:rsidRPr="00317C8E">
        <w:rPr>
          <w:rStyle w:val="Emphasis"/>
          <w:i w:val="0"/>
          <w:sz w:val="22"/>
          <w:szCs w:val="22"/>
        </w:rPr>
        <w:t>.</w:t>
      </w:r>
    </w:p>
    <w:p w14:paraId="457B679C" w14:textId="77777777" w:rsidR="00014CB6" w:rsidRPr="00317C8E" w:rsidRDefault="00014CB6" w:rsidP="00122AD6">
      <w:pPr>
        <w:spacing w:line="260" w:lineRule="atLeast"/>
        <w:rPr>
          <w:szCs w:val="22"/>
        </w:rPr>
      </w:pPr>
      <w:r w:rsidRPr="00317C8E">
        <w:rPr>
          <w:szCs w:val="22"/>
        </w:rPr>
        <w:t>The project Critical Path has been identified and circulated to relevant managers.</w:t>
      </w:r>
    </w:p>
    <w:p w14:paraId="2A42A4C3" w14:textId="182D1E68" w:rsidR="00014CB6" w:rsidRPr="00317C8E" w:rsidRDefault="00014CB6" w:rsidP="00122AD6">
      <w:pPr>
        <w:spacing w:line="260" w:lineRule="atLeast"/>
        <w:rPr>
          <w:szCs w:val="22"/>
        </w:rPr>
      </w:pPr>
      <w:r w:rsidRPr="00317C8E">
        <w:rPr>
          <w:szCs w:val="22"/>
        </w:rPr>
        <w:t xml:space="preserve">Key </w:t>
      </w:r>
      <w:r w:rsidR="006A024A" w:rsidRPr="00317C8E">
        <w:rPr>
          <w:szCs w:val="22"/>
        </w:rPr>
        <w:t xml:space="preserve">internal and external </w:t>
      </w:r>
      <w:r w:rsidRPr="00317C8E">
        <w:rPr>
          <w:szCs w:val="22"/>
        </w:rPr>
        <w:t>dependencies have been identified and incorporated into the project planning.</w:t>
      </w:r>
    </w:p>
    <w:p w14:paraId="59B7A58E" w14:textId="77777777" w:rsidR="00BC4A43" w:rsidRPr="00317C8E" w:rsidRDefault="00976FB3" w:rsidP="006C4F9E">
      <w:pPr>
        <w:pStyle w:val="TableHeading1"/>
        <w:rPr>
          <w:rStyle w:val="Emphasis"/>
          <w:i w:val="0"/>
          <w:sz w:val="22"/>
          <w:szCs w:val="22"/>
        </w:rPr>
      </w:pPr>
      <w:r w:rsidRPr="00317C8E">
        <w:rPr>
          <w:rStyle w:val="Emphasis"/>
          <w:i w:val="0"/>
          <w:sz w:val="22"/>
          <w:szCs w:val="22"/>
        </w:rPr>
        <w:lastRenderedPageBreak/>
        <w:t>Figure</w:t>
      </w:r>
      <w:r w:rsidR="00B2430A" w:rsidRPr="00317C8E">
        <w:rPr>
          <w:rStyle w:val="Emphasis"/>
          <w:i w:val="0"/>
          <w:sz w:val="22"/>
          <w:szCs w:val="22"/>
        </w:rPr>
        <w:t xml:space="preserve"> </w:t>
      </w:r>
      <w:r w:rsidR="00B2430A" w:rsidRPr="00317C8E">
        <w:rPr>
          <w:rStyle w:val="Emphasis"/>
          <w:i w:val="0"/>
          <w:sz w:val="22"/>
          <w:szCs w:val="22"/>
          <w:highlight w:val="yellow"/>
        </w:rPr>
        <w:t>x</w:t>
      </w:r>
      <w:r w:rsidRPr="00317C8E">
        <w:rPr>
          <w:rStyle w:val="Emphasis"/>
          <w:i w:val="0"/>
          <w:sz w:val="22"/>
          <w:szCs w:val="22"/>
          <w:highlight w:val="yellow"/>
        </w:rPr>
        <w:t>x</w:t>
      </w:r>
      <w:r w:rsidR="00BC4A43" w:rsidRPr="00317C8E">
        <w:rPr>
          <w:rStyle w:val="Emphasis"/>
          <w:i w:val="0"/>
          <w:sz w:val="22"/>
          <w:szCs w:val="22"/>
        </w:rPr>
        <w:t xml:space="preserve">: </w:t>
      </w:r>
      <w:r w:rsidR="00BC4A43" w:rsidRPr="00317C8E">
        <w:rPr>
          <w:rStyle w:val="Emphasis"/>
          <w:b w:val="0"/>
          <w:i w:val="0"/>
          <w:sz w:val="22"/>
          <w:szCs w:val="22"/>
        </w:rPr>
        <w:t xml:space="preserve">Project </w:t>
      </w:r>
      <w:proofErr w:type="gramStart"/>
      <w:r w:rsidR="00BC4A43" w:rsidRPr="00317C8E">
        <w:rPr>
          <w:rStyle w:val="Emphasis"/>
          <w:b w:val="0"/>
          <w:i w:val="0"/>
          <w:sz w:val="22"/>
          <w:szCs w:val="22"/>
        </w:rPr>
        <w:t>GANTT</w:t>
      </w:r>
      <w:proofErr w:type="gramEnd"/>
      <w:r w:rsidR="00BC4A43" w:rsidRPr="00317C8E">
        <w:rPr>
          <w:rStyle w:val="Emphasis"/>
          <w:b w:val="0"/>
          <w:i w:val="0"/>
          <w:sz w:val="22"/>
          <w:szCs w:val="22"/>
        </w:rPr>
        <w:t xml:space="preserve"> chart </w:t>
      </w:r>
      <w:r w:rsidR="003024B5" w:rsidRPr="00317C8E">
        <w:rPr>
          <w:rStyle w:val="Emphasis"/>
          <w:b w:val="0"/>
          <w:i w:val="0"/>
          <w:sz w:val="22"/>
          <w:szCs w:val="22"/>
        </w:rPr>
        <w:t>(or similar</w:t>
      </w:r>
      <w:r w:rsidR="003024B5" w:rsidRPr="00317C8E">
        <w:rPr>
          <w:rStyle w:val="Emphasis"/>
          <w:i w:val="0"/>
          <w:sz w:val="22"/>
          <w:szCs w:val="22"/>
        </w:rPr>
        <w:t>)</w:t>
      </w:r>
    </w:p>
    <w:p w14:paraId="755714D2" w14:textId="71C02441" w:rsidR="00B2430A" w:rsidRPr="00317C8E" w:rsidRDefault="00B2430A" w:rsidP="00B2430A">
      <w:pPr>
        <w:ind w:left="567"/>
        <w:rPr>
          <w:rStyle w:val="Emphasis"/>
          <w:color w:val="0000FF"/>
          <w:sz w:val="22"/>
          <w:szCs w:val="22"/>
        </w:rPr>
      </w:pPr>
      <w:r w:rsidRPr="00317C8E">
        <w:rPr>
          <w:rStyle w:val="Emphasis"/>
          <w:color w:val="0000FF"/>
          <w:sz w:val="22"/>
          <w:szCs w:val="22"/>
        </w:rPr>
        <w:t xml:space="preserve">Include a </w:t>
      </w:r>
      <w:r w:rsidR="001D78F6" w:rsidRPr="00317C8E">
        <w:rPr>
          <w:rStyle w:val="Emphasis"/>
          <w:color w:val="0000FF"/>
          <w:sz w:val="22"/>
          <w:szCs w:val="22"/>
        </w:rPr>
        <w:t xml:space="preserve">picture of the current </w:t>
      </w:r>
      <w:r w:rsidR="00482953" w:rsidRPr="00317C8E">
        <w:rPr>
          <w:rStyle w:val="Emphasis"/>
          <w:color w:val="0000FF"/>
          <w:sz w:val="22"/>
          <w:szCs w:val="22"/>
        </w:rPr>
        <w:t xml:space="preserve">high-level (rolled-up) </w:t>
      </w:r>
      <w:r w:rsidRPr="00317C8E">
        <w:rPr>
          <w:rStyle w:val="Emphasis"/>
          <w:color w:val="0000FF"/>
          <w:sz w:val="22"/>
          <w:szCs w:val="22"/>
        </w:rPr>
        <w:t xml:space="preserve">project </w:t>
      </w:r>
      <w:proofErr w:type="gramStart"/>
      <w:r w:rsidRPr="00317C8E">
        <w:rPr>
          <w:rStyle w:val="Emphasis"/>
          <w:color w:val="0000FF"/>
          <w:sz w:val="22"/>
          <w:szCs w:val="22"/>
        </w:rPr>
        <w:t>GANTT</w:t>
      </w:r>
      <w:proofErr w:type="gramEnd"/>
      <w:r w:rsidRPr="00317C8E">
        <w:rPr>
          <w:rStyle w:val="Emphasis"/>
          <w:color w:val="0000FF"/>
          <w:sz w:val="22"/>
          <w:szCs w:val="22"/>
        </w:rPr>
        <w:t xml:space="preserve"> chart </w:t>
      </w:r>
      <w:r w:rsidR="00C54D9D" w:rsidRPr="00317C8E">
        <w:rPr>
          <w:rStyle w:val="Emphasis"/>
          <w:color w:val="0000FF"/>
          <w:sz w:val="22"/>
          <w:szCs w:val="22"/>
        </w:rPr>
        <w:t xml:space="preserve">or equivalent </w:t>
      </w:r>
      <w:r w:rsidRPr="00317C8E">
        <w:rPr>
          <w:rStyle w:val="Emphasis"/>
          <w:color w:val="0000FF"/>
          <w:sz w:val="22"/>
          <w:szCs w:val="22"/>
        </w:rPr>
        <w:t>here</w:t>
      </w:r>
      <w:r w:rsidR="001D78F6" w:rsidRPr="00317C8E">
        <w:rPr>
          <w:rStyle w:val="Emphasis"/>
          <w:color w:val="0000FF"/>
          <w:sz w:val="22"/>
          <w:szCs w:val="22"/>
        </w:rPr>
        <w:t xml:space="preserve">, or present as a table; show the high-level activities, </w:t>
      </w:r>
      <w:proofErr w:type="spellStart"/>
      <w:r w:rsidR="001D78F6" w:rsidRPr="00317C8E">
        <w:rPr>
          <w:rStyle w:val="Emphasis"/>
          <w:color w:val="0000FF"/>
          <w:sz w:val="22"/>
          <w:szCs w:val="22"/>
        </w:rPr>
        <w:t>eg</w:t>
      </w:r>
      <w:proofErr w:type="spellEnd"/>
      <w:r w:rsidR="001D78F6" w:rsidRPr="00317C8E">
        <w:rPr>
          <w:rStyle w:val="Emphasis"/>
          <w:color w:val="0000FF"/>
          <w:sz w:val="22"/>
          <w:szCs w:val="22"/>
        </w:rPr>
        <w:t>. Phases, increments, and key dates from suppliers.</w:t>
      </w:r>
      <w:r w:rsidR="00184709" w:rsidRPr="00317C8E">
        <w:rPr>
          <w:rStyle w:val="Emphasis"/>
          <w:color w:val="0000FF"/>
          <w:sz w:val="22"/>
          <w:szCs w:val="22"/>
        </w:rPr>
        <w:t xml:space="preserve"> </w:t>
      </w:r>
    </w:p>
    <w:p w14:paraId="38F13DAC" w14:textId="77777777" w:rsidR="009049DE" w:rsidRPr="00996D0A" w:rsidRDefault="009049DE" w:rsidP="00996D0A">
      <w:pPr>
        <w:pStyle w:val="Heading3"/>
        <w:rPr>
          <w:rStyle w:val="Emphasis"/>
          <w:i w:val="0"/>
          <w:iCs w:val="0"/>
          <w:color w:val="002469"/>
          <w:sz w:val="24"/>
        </w:rPr>
      </w:pPr>
      <w:r w:rsidRPr="00996D0A">
        <w:rPr>
          <w:rStyle w:val="Emphasis"/>
          <w:i w:val="0"/>
          <w:iCs w:val="0"/>
          <w:color w:val="002469"/>
          <w:sz w:val="24"/>
        </w:rPr>
        <w:t>Project Management Plan</w:t>
      </w:r>
    </w:p>
    <w:p w14:paraId="19D7BFA9" w14:textId="13337AF5" w:rsidR="009049DE" w:rsidRPr="00317C8E" w:rsidRDefault="009049DE" w:rsidP="006A024A">
      <w:pPr>
        <w:spacing w:line="260" w:lineRule="atLeast"/>
        <w:rPr>
          <w:szCs w:val="22"/>
        </w:rPr>
      </w:pPr>
      <w:r w:rsidRPr="00317C8E">
        <w:rPr>
          <w:szCs w:val="22"/>
        </w:rPr>
        <w:t>The detailed day-to-day control processes that will be used to manage delivery including governance, reporting, risk and issues management, dependency management, resourcing, scope and change, how the development methodology (</w:t>
      </w:r>
      <w:proofErr w:type="spellStart"/>
      <w:r w:rsidRPr="00317C8E">
        <w:rPr>
          <w:szCs w:val="22"/>
        </w:rPr>
        <w:t>eg</w:t>
      </w:r>
      <w:proofErr w:type="spellEnd"/>
      <w:r w:rsidRPr="00317C8E">
        <w:rPr>
          <w:szCs w:val="22"/>
        </w:rPr>
        <w:t xml:space="preserve"> </w:t>
      </w:r>
      <w:proofErr w:type="spellStart"/>
      <w:r w:rsidRPr="00317C8E">
        <w:rPr>
          <w:szCs w:val="22"/>
        </w:rPr>
        <w:t>SAFe</w:t>
      </w:r>
      <w:proofErr w:type="spellEnd"/>
      <w:r w:rsidRPr="00317C8E">
        <w:rPr>
          <w:szCs w:val="22"/>
        </w:rPr>
        <w:t xml:space="preserve">) will be applied , </w:t>
      </w:r>
      <w:proofErr w:type="spellStart"/>
      <w:r w:rsidRPr="00317C8E">
        <w:rPr>
          <w:szCs w:val="22"/>
        </w:rPr>
        <w:t>etc</w:t>
      </w:r>
      <w:proofErr w:type="spellEnd"/>
      <w:r w:rsidRPr="00317C8E">
        <w:rPr>
          <w:szCs w:val="22"/>
        </w:rPr>
        <w:t xml:space="preserve"> </w:t>
      </w:r>
      <w:r w:rsidRPr="00317C8E">
        <w:rPr>
          <w:i/>
          <w:color w:val="0000FF"/>
          <w:szCs w:val="22"/>
        </w:rPr>
        <w:t>(add others as needed)</w:t>
      </w:r>
      <w:r w:rsidRPr="00317C8E">
        <w:rPr>
          <w:szCs w:val="22"/>
        </w:rPr>
        <w:t xml:space="preserve">, are detailed in the </w:t>
      </w:r>
      <w:r w:rsidRPr="00317C8E">
        <w:rPr>
          <w:szCs w:val="22"/>
          <w:highlight w:val="yellow"/>
        </w:rPr>
        <w:t>Project Management Plan</w:t>
      </w:r>
      <w:r w:rsidRPr="00317C8E">
        <w:rPr>
          <w:szCs w:val="22"/>
        </w:rPr>
        <w:t xml:space="preserve"> </w:t>
      </w:r>
      <w:r w:rsidRPr="00317C8E">
        <w:rPr>
          <w:i/>
          <w:color w:val="0000FF"/>
          <w:szCs w:val="22"/>
        </w:rPr>
        <w:t xml:space="preserve">(or equivalent </w:t>
      </w:r>
      <w:r w:rsidR="0003530F" w:rsidRPr="00317C8E">
        <w:rPr>
          <w:i/>
          <w:color w:val="0000FF"/>
          <w:szCs w:val="22"/>
        </w:rPr>
        <w:t>‘</w:t>
      </w:r>
      <w:r w:rsidR="00C54D9D" w:rsidRPr="00317C8E">
        <w:rPr>
          <w:i/>
          <w:color w:val="0000FF"/>
          <w:szCs w:val="22"/>
        </w:rPr>
        <w:t>How we do stuff around here</w:t>
      </w:r>
      <w:r w:rsidR="0003530F" w:rsidRPr="00317C8E">
        <w:rPr>
          <w:i/>
          <w:color w:val="0000FF"/>
          <w:szCs w:val="22"/>
        </w:rPr>
        <w:t>’ control</w:t>
      </w:r>
      <w:r w:rsidR="00C54D9D" w:rsidRPr="00317C8E">
        <w:rPr>
          <w:i/>
          <w:color w:val="0000FF"/>
          <w:szCs w:val="22"/>
        </w:rPr>
        <w:t xml:space="preserve"> </w:t>
      </w:r>
      <w:r w:rsidRPr="00317C8E">
        <w:rPr>
          <w:i/>
          <w:color w:val="0000FF"/>
          <w:szCs w:val="22"/>
        </w:rPr>
        <w:t>document(s)).</w:t>
      </w:r>
      <w:r w:rsidRPr="00317C8E">
        <w:rPr>
          <w:szCs w:val="22"/>
        </w:rPr>
        <w:t xml:space="preserve"> </w:t>
      </w:r>
    </w:p>
    <w:p w14:paraId="04E07783" w14:textId="0F0DBAA8" w:rsidR="009049DE" w:rsidRPr="00317C8E" w:rsidRDefault="009049DE" w:rsidP="00122AD6">
      <w:pPr>
        <w:spacing w:line="260" w:lineRule="atLeast"/>
        <w:rPr>
          <w:rStyle w:val="Emphasis"/>
          <w:sz w:val="22"/>
          <w:szCs w:val="22"/>
        </w:rPr>
      </w:pPr>
      <w:r w:rsidRPr="00317C8E">
        <w:rPr>
          <w:rStyle w:val="Emphasis"/>
          <w:i w:val="0"/>
          <w:sz w:val="22"/>
          <w:szCs w:val="22"/>
        </w:rPr>
        <w:t xml:space="preserve">This is a living document; the current version (as at </w:t>
      </w:r>
      <w:proofErr w:type="spellStart"/>
      <w:r w:rsidRPr="00317C8E">
        <w:rPr>
          <w:rStyle w:val="Emphasis"/>
          <w:i w:val="0"/>
          <w:sz w:val="22"/>
          <w:szCs w:val="22"/>
          <w:highlight w:val="yellow"/>
        </w:rPr>
        <w:t>dd</w:t>
      </w:r>
      <w:proofErr w:type="spellEnd"/>
      <w:r w:rsidRPr="00317C8E">
        <w:rPr>
          <w:rStyle w:val="Emphasis"/>
          <w:i w:val="0"/>
          <w:sz w:val="22"/>
          <w:szCs w:val="22"/>
          <w:highlight w:val="yellow"/>
        </w:rPr>
        <w:t xml:space="preserve"> </w:t>
      </w:r>
      <w:proofErr w:type="spellStart"/>
      <w:r w:rsidRPr="00317C8E">
        <w:rPr>
          <w:rStyle w:val="Emphasis"/>
          <w:i w:val="0"/>
          <w:sz w:val="22"/>
          <w:szCs w:val="22"/>
          <w:highlight w:val="yellow"/>
        </w:rPr>
        <w:t>Mmm</w:t>
      </w:r>
      <w:proofErr w:type="spellEnd"/>
      <w:r w:rsidRPr="00317C8E">
        <w:rPr>
          <w:rStyle w:val="Emphasis"/>
          <w:i w:val="0"/>
          <w:sz w:val="22"/>
          <w:szCs w:val="22"/>
          <w:highlight w:val="yellow"/>
        </w:rPr>
        <w:t xml:space="preserve"> </w:t>
      </w:r>
      <w:r w:rsidR="0003530F" w:rsidRPr="00317C8E">
        <w:rPr>
          <w:rStyle w:val="Emphasis"/>
          <w:i w:val="0"/>
          <w:sz w:val="22"/>
          <w:szCs w:val="22"/>
          <w:highlight w:val="yellow"/>
        </w:rPr>
        <w:t>20YY</w:t>
      </w:r>
      <w:r w:rsidRPr="00317C8E">
        <w:rPr>
          <w:rStyle w:val="Emphasis"/>
          <w:i w:val="0"/>
          <w:sz w:val="22"/>
          <w:szCs w:val="22"/>
        </w:rPr>
        <w:t xml:space="preserve">) is listed in </w:t>
      </w:r>
      <w:hyperlink w:anchor="_Annex_2:_" w:history="1">
        <w:r w:rsidRPr="00317C8E">
          <w:rPr>
            <w:rStyle w:val="Hyperlink"/>
            <w:szCs w:val="22"/>
          </w:rPr>
          <w:t>Annex 2</w:t>
        </w:r>
      </w:hyperlink>
      <w:r w:rsidRPr="00317C8E">
        <w:rPr>
          <w:rStyle w:val="Emphasis"/>
          <w:i w:val="0"/>
          <w:sz w:val="22"/>
          <w:szCs w:val="22"/>
        </w:rPr>
        <w:t xml:space="preserve"> and is available on request.</w:t>
      </w:r>
      <w:r w:rsidR="00C54D9D" w:rsidRPr="00317C8E">
        <w:rPr>
          <w:rStyle w:val="Emphasis"/>
          <w:i w:val="0"/>
          <w:sz w:val="22"/>
          <w:szCs w:val="22"/>
        </w:rPr>
        <w:t xml:space="preserve">  This reflects the implementation timescales agreed with the preferred supplier for the delivery of the negotiated services and signed off by stakeholders.</w:t>
      </w:r>
    </w:p>
    <w:p w14:paraId="28C6AD22" w14:textId="77777777" w:rsidR="006311EC" w:rsidRPr="00996D0A" w:rsidRDefault="006311EC" w:rsidP="00996D0A">
      <w:pPr>
        <w:pStyle w:val="Heading3"/>
        <w:rPr>
          <w:rStyle w:val="Emphasis"/>
          <w:i w:val="0"/>
          <w:iCs w:val="0"/>
          <w:color w:val="002469"/>
          <w:sz w:val="24"/>
        </w:rPr>
      </w:pPr>
      <w:r w:rsidRPr="00996D0A">
        <w:rPr>
          <w:rStyle w:val="Emphasis"/>
          <w:i w:val="0"/>
          <w:iCs w:val="0"/>
          <w:color w:val="002469"/>
          <w:sz w:val="24"/>
        </w:rPr>
        <w:t>Resource management</w:t>
      </w:r>
    </w:p>
    <w:p w14:paraId="68ECBA1B" w14:textId="77777777" w:rsidR="00014CB6" w:rsidRPr="00317C8E" w:rsidRDefault="00014CB6" w:rsidP="00122AD6">
      <w:pPr>
        <w:spacing w:line="260" w:lineRule="atLeast"/>
        <w:rPr>
          <w:rFonts w:ascii="Calibri" w:hAnsi="Calibri"/>
          <w:szCs w:val="22"/>
          <w:lang w:val="en-NZ" w:eastAsia="en-US"/>
        </w:rPr>
      </w:pPr>
      <w:r w:rsidRPr="00317C8E">
        <w:rPr>
          <w:szCs w:val="22"/>
        </w:rPr>
        <w:t>Managers responsible for programme/project management, change, benefits, contracts, risks and assurance are appointed and in place.  (</w:t>
      </w:r>
      <w:proofErr w:type="gramStart"/>
      <w:r w:rsidRPr="00317C8E">
        <w:rPr>
          <w:szCs w:val="22"/>
        </w:rPr>
        <w:t>or</w:t>
      </w:r>
      <w:proofErr w:type="gramEnd"/>
      <w:r w:rsidRPr="00317C8E">
        <w:rPr>
          <w:szCs w:val="22"/>
        </w:rPr>
        <w:t xml:space="preserve">) </w:t>
      </w:r>
    </w:p>
    <w:p w14:paraId="6FA993FC" w14:textId="77777777" w:rsidR="00C54D9D" w:rsidRPr="00C54D9D" w:rsidRDefault="006C4F9E"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C54D9D">
        <w:rPr>
          <w:rStyle w:val="Emphasis"/>
        </w:rPr>
        <w:t xml:space="preserve">Describe the resourcing approach. Show the status of appointments in </w:t>
      </w:r>
      <w:r w:rsidR="001D78F6" w:rsidRPr="00C54D9D">
        <w:rPr>
          <w:rStyle w:val="Emphasis"/>
        </w:rPr>
        <w:t xml:space="preserve">an </w:t>
      </w:r>
      <w:r w:rsidRPr="00C54D9D">
        <w:rPr>
          <w:rStyle w:val="Emphasis"/>
        </w:rPr>
        <w:t>organisation chart above and reference here – or, if this gets messy, provide a</w:t>
      </w:r>
      <w:r w:rsidR="00C54D9D" w:rsidRPr="00C54D9D">
        <w:rPr>
          <w:rStyle w:val="Emphasis"/>
        </w:rPr>
        <w:t xml:space="preserve"> table showing</w:t>
      </w:r>
      <w:r w:rsidRPr="00C54D9D">
        <w:rPr>
          <w:rStyle w:val="Emphasis"/>
        </w:rPr>
        <w:t xml:space="preserve"> positions and their recruitment status.</w:t>
      </w:r>
      <w:r w:rsidR="00794958" w:rsidRPr="00C54D9D">
        <w:rPr>
          <w:rStyle w:val="Emphasis"/>
        </w:rPr>
        <w:t xml:space="preserve">  </w:t>
      </w:r>
    </w:p>
    <w:p w14:paraId="5CAC85F5" w14:textId="498A56E3" w:rsidR="007E6969" w:rsidRPr="00317C8E" w:rsidRDefault="00794958"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C54D9D">
        <w:rPr>
          <w:rStyle w:val="Emphasis"/>
        </w:rPr>
        <w:t>The expectation is</w:t>
      </w:r>
      <w:r w:rsidR="007E6969" w:rsidRPr="00C54D9D">
        <w:rPr>
          <w:rStyle w:val="Emphasis"/>
        </w:rPr>
        <w:t xml:space="preserve"> to show</w:t>
      </w:r>
      <w:r w:rsidRPr="00C54D9D">
        <w:rPr>
          <w:rStyle w:val="Emphasis"/>
        </w:rPr>
        <w:t xml:space="preserve"> that </w:t>
      </w:r>
      <w:r w:rsidR="00C54D9D">
        <w:rPr>
          <w:rStyle w:val="Emphasis"/>
        </w:rPr>
        <w:t>enough</w:t>
      </w:r>
      <w:r w:rsidR="007E6969" w:rsidRPr="00C54D9D">
        <w:rPr>
          <w:rStyle w:val="Emphasis"/>
        </w:rPr>
        <w:t xml:space="preserve"> resourcing is in place to start delivery, or that there is a plan in place to acquire required resources, and </w:t>
      </w:r>
      <w:r w:rsidR="00C54D9D">
        <w:rPr>
          <w:rStyle w:val="Emphasis"/>
        </w:rPr>
        <w:t xml:space="preserve">that </w:t>
      </w:r>
      <w:r w:rsidR="007E6969" w:rsidRPr="00C54D9D">
        <w:rPr>
          <w:rStyle w:val="Emphasis"/>
        </w:rPr>
        <w:t>the time to do</w:t>
      </w:r>
      <w:r w:rsidR="001D78F6" w:rsidRPr="00C54D9D">
        <w:rPr>
          <w:rStyle w:val="Emphasis"/>
        </w:rPr>
        <w:t xml:space="preserve"> this and any required </w:t>
      </w:r>
      <w:proofErr w:type="spellStart"/>
      <w:r w:rsidR="001D78F6" w:rsidRPr="00C54D9D">
        <w:rPr>
          <w:rStyle w:val="Emphasis"/>
        </w:rPr>
        <w:t>onboarding</w:t>
      </w:r>
      <w:proofErr w:type="spellEnd"/>
      <w:r w:rsidR="001D78F6" w:rsidRPr="00C54D9D">
        <w:rPr>
          <w:rStyle w:val="Emphasis"/>
        </w:rPr>
        <w:t>/upskilling activities</w:t>
      </w:r>
      <w:r w:rsidR="007E6969" w:rsidRPr="00C54D9D">
        <w:rPr>
          <w:rStyle w:val="Emphasis"/>
        </w:rPr>
        <w:t xml:space="preserve"> is provided for in the schedule.</w:t>
      </w:r>
      <w:r w:rsidR="00014CB6" w:rsidRPr="00C54D9D">
        <w:rPr>
          <w:rStyle w:val="Emphasis"/>
        </w:rPr>
        <w:t xml:space="preserve"> </w:t>
      </w:r>
      <w:r w:rsidR="007E6969" w:rsidRPr="00C54D9D">
        <w:rPr>
          <w:rStyle w:val="Emphasis"/>
        </w:rPr>
        <w:t xml:space="preserve">This includes resources for project management, </w:t>
      </w:r>
      <w:r w:rsidR="001D78F6" w:rsidRPr="00C54D9D">
        <w:rPr>
          <w:rStyle w:val="Emphasis"/>
        </w:rPr>
        <w:t xml:space="preserve">contract management, </w:t>
      </w:r>
      <w:r w:rsidR="007E6969" w:rsidRPr="00C54D9D">
        <w:rPr>
          <w:rStyle w:val="Emphasis"/>
        </w:rPr>
        <w:t>change, risk, benefits, and quality management to support the work in the plan.</w:t>
      </w:r>
      <w:r w:rsidR="00014CB6" w:rsidRPr="00C54D9D">
        <w:rPr>
          <w:rStyle w:val="Emphasis"/>
        </w:rPr>
        <w:t xml:space="preserve">  The resourcing plan, including timeframes, </w:t>
      </w:r>
      <w:r w:rsidR="007B53C8" w:rsidRPr="00C54D9D">
        <w:rPr>
          <w:rStyle w:val="Emphasis"/>
        </w:rPr>
        <w:t>must</w:t>
      </w:r>
      <w:r w:rsidR="00014CB6" w:rsidRPr="00C54D9D">
        <w:rPr>
          <w:rStyle w:val="Emphasis"/>
        </w:rPr>
        <w:t xml:space="preserve"> be </w:t>
      </w:r>
      <w:r w:rsidR="001D78F6" w:rsidRPr="00C54D9D">
        <w:rPr>
          <w:rStyle w:val="Emphasis"/>
        </w:rPr>
        <w:t>listed in</w:t>
      </w:r>
      <w:r w:rsidR="001D78F6" w:rsidRPr="00317C8E">
        <w:rPr>
          <w:rStyle w:val="Emphasis"/>
        </w:rPr>
        <w:t xml:space="preserve"> </w:t>
      </w:r>
      <w:hyperlink w:anchor="_Annex_2:_" w:history="1">
        <w:r w:rsidR="001D78F6" w:rsidRPr="00317C8E">
          <w:rPr>
            <w:rStyle w:val="Emphasis"/>
            <w:u w:val="single"/>
          </w:rPr>
          <w:t>Annex 2</w:t>
        </w:r>
      </w:hyperlink>
      <w:r w:rsidR="001D78F6" w:rsidRPr="00317C8E">
        <w:rPr>
          <w:rStyle w:val="Emphasis"/>
        </w:rPr>
        <w:t xml:space="preserve"> and must be available to reviewers</w:t>
      </w:r>
      <w:r w:rsidR="00014CB6" w:rsidRPr="00317C8E">
        <w:rPr>
          <w:rStyle w:val="Emphasis"/>
        </w:rPr>
        <w:t xml:space="preserve">.  </w:t>
      </w:r>
    </w:p>
    <w:p w14:paraId="619BF446" w14:textId="77777777" w:rsidR="006774C9" w:rsidRPr="00996D0A" w:rsidRDefault="00B2430A" w:rsidP="00996D0A">
      <w:pPr>
        <w:pStyle w:val="Heading3"/>
        <w:rPr>
          <w:rStyle w:val="Emphasis"/>
          <w:i w:val="0"/>
          <w:iCs w:val="0"/>
          <w:color w:val="002469"/>
          <w:sz w:val="24"/>
        </w:rPr>
      </w:pPr>
      <w:r w:rsidRPr="00996D0A">
        <w:rPr>
          <w:rStyle w:val="Emphasis"/>
          <w:i w:val="0"/>
          <w:iCs w:val="0"/>
          <w:color w:val="002469"/>
          <w:sz w:val="24"/>
        </w:rPr>
        <w:t xml:space="preserve">Stakeholder </w:t>
      </w:r>
      <w:r w:rsidR="00E27917" w:rsidRPr="00996D0A">
        <w:rPr>
          <w:rStyle w:val="Emphasis"/>
          <w:i w:val="0"/>
          <w:iCs w:val="0"/>
          <w:color w:val="002469"/>
          <w:sz w:val="24"/>
        </w:rPr>
        <w:t>reporting and communications</w:t>
      </w:r>
      <w:r w:rsidRPr="00996D0A">
        <w:rPr>
          <w:rStyle w:val="Emphasis"/>
          <w:i w:val="0"/>
          <w:iCs w:val="0"/>
          <w:color w:val="002469"/>
          <w:sz w:val="24"/>
        </w:rPr>
        <w:t xml:space="preserve"> </w:t>
      </w:r>
    </w:p>
    <w:p w14:paraId="36F70D54" w14:textId="05D55389" w:rsidR="00B2430A" w:rsidRPr="00317C8E" w:rsidRDefault="00B2430A" w:rsidP="00122AD6">
      <w:pPr>
        <w:spacing w:line="260" w:lineRule="atLeast"/>
        <w:rPr>
          <w:szCs w:val="22"/>
        </w:rPr>
      </w:pPr>
      <w:r w:rsidRPr="00317C8E">
        <w:rPr>
          <w:szCs w:val="22"/>
        </w:rPr>
        <w:t>The key stakeholders are</w:t>
      </w:r>
      <w:r w:rsidR="00C54D9D" w:rsidRPr="00317C8E">
        <w:rPr>
          <w:szCs w:val="22"/>
        </w:rPr>
        <w:t xml:space="preserve"> </w:t>
      </w:r>
      <w:r w:rsidR="00C54D9D" w:rsidRPr="00317C8E">
        <w:rPr>
          <w:i/>
          <w:iCs/>
          <w:color w:val="0000FF"/>
          <w:szCs w:val="22"/>
          <w:highlight w:val="yellow"/>
        </w:rPr>
        <w:t>summarise and update from previous business case</w:t>
      </w:r>
      <w:r w:rsidRPr="00317C8E">
        <w:rPr>
          <w:color w:val="0000FF"/>
          <w:szCs w:val="22"/>
        </w:rPr>
        <w:t xml:space="preserve"> </w:t>
      </w:r>
    </w:p>
    <w:p w14:paraId="66EBE2D2" w14:textId="77777777" w:rsidR="00C54D9D" w:rsidRPr="00317C8E" w:rsidRDefault="00B2430A" w:rsidP="00122AD6">
      <w:pPr>
        <w:spacing w:line="260" w:lineRule="atLeast"/>
        <w:rPr>
          <w:i/>
          <w:color w:val="0000FF"/>
          <w:szCs w:val="22"/>
        </w:rPr>
      </w:pPr>
      <w:r w:rsidRPr="00317C8E">
        <w:rPr>
          <w:szCs w:val="22"/>
        </w:rPr>
        <w:t xml:space="preserve">Project reports will be </w:t>
      </w:r>
      <w:r w:rsidR="009C0616" w:rsidRPr="00317C8E">
        <w:rPr>
          <w:szCs w:val="22"/>
          <w:highlight w:val="yellow"/>
        </w:rPr>
        <w:t>…</w:t>
      </w:r>
      <w:r w:rsidR="001D78F6" w:rsidRPr="00317C8E">
        <w:rPr>
          <w:i/>
          <w:color w:val="0033CC"/>
          <w:szCs w:val="22"/>
          <w:highlight w:val="yellow"/>
        </w:rPr>
        <w:t xml:space="preserve">summarise </w:t>
      </w:r>
      <w:r w:rsidR="001D78F6" w:rsidRPr="00317C8E">
        <w:rPr>
          <w:i/>
          <w:color w:val="0033CC"/>
          <w:szCs w:val="22"/>
          <w:highlight w:val="yellow"/>
          <w:u w:val="single"/>
        </w:rPr>
        <w:t>key</w:t>
      </w:r>
      <w:r w:rsidR="001D78F6" w:rsidRPr="00317C8E">
        <w:rPr>
          <w:i/>
          <w:color w:val="0033CC"/>
          <w:szCs w:val="22"/>
          <w:highlight w:val="yellow"/>
        </w:rPr>
        <w:t xml:space="preserve"> reports to governance groups: b</w:t>
      </w:r>
      <w:r w:rsidR="006C4F9E" w:rsidRPr="00317C8E">
        <w:rPr>
          <w:i/>
          <w:color w:val="0033CC"/>
          <w:szCs w:val="22"/>
          <w:highlight w:val="yellow"/>
        </w:rPr>
        <w:t>y whom, frequency</w:t>
      </w:r>
      <w:r w:rsidR="006C4F9E" w:rsidRPr="00317C8E">
        <w:rPr>
          <w:i/>
          <w:color w:val="0000FF"/>
          <w:szCs w:val="22"/>
          <w:highlight w:val="yellow"/>
        </w:rPr>
        <w:t>, to whom</w:t>
      </w:r>
      <w:r w:rsidR="006C4F9E" w:rsidRPr="00317C8E">
        <w:rPr>
          <w:i/>
          <w:color w:val="0000FF"/>
          <w:szCs w:val="22"/>
        </w:rPr>
        <w:t xml:space="preserve">.  </w:t>
      </w:r>
    </w:p>
    <w:p w14:paraId="3EC71892" w14:textId="1CBE6A1E" w:rsidR="00B2430A" w:rsidRPr="00317C8E" w:rsidRDefault="006C4F9E" w:rsidP="00122AD6">
      <w:pPr>
        <w:spacing w:line="260" w:lineRule="atLeast"/>
        <w:rPr>
          <w:szCs w:val="22"/>
        </w:rPr>
      </w:pPr>
      <w:r w:rsidRPr="00317C8E">
        <w:rPr>
          <w:szCs w:val="22"/>
        </w:rPr>
        <w:t>For more detail r</w:t>
      </w:r>
      <w:r w:rsidR="00D63B6E" w:rsidRPr="00317C8E">
        <w:rPr>
          <w:szCs w:val="22"/>
        </w:rPr>
        <w:t xml:space="preserve">efer to the </w:t>
      </w:r>
      <w:r w:rsidR="007B53C8" w:rsidRPr="00317C8E">
        <w:rPr>
          <w:szCs w:val="22"/>
        </w:rPr>
        <w:t>Stakeholder Communication Plan</w:t>
      </w:r>
      <w:r w:rsidR="009C0616" w:rsidRPr="00317C8E">
        <w:rPr>
          <w:szCs w:val="22"/>
        </w:rPr>
        <w:t>.</w:t>
      </w:r>
      <w:r w:rsidR="007B53C8" w:rsidRPr="00317C8E">
        <w:rPr>
          <w:szCs w:val="22"/>
        </w:rPr>
        <w:t xml:space="preserve">  </w:t>
      </w:r>
      <w:r w:rsidR="007B53C8" w:rsidRPr="00317C8E">
        <w:rPr>
          <w:rStyle w:val="Emphasis"/>
          <w:i w:val="0"/>
          <w:sz w:val="22"/>
          <w:szCs w:val="22"/>
        </w:rPr>
        <w:t xml:space="preserve">This is a living document; the current version (as at </w:t>
      </w:r>
      <w:proofErr w:type="spellStart"/>
      <w:r w:rsidR="007B53C8" w:rsidRPr="00317C8E">
        <w:rPr>
          <w:rStyle w:val="Emphasis"/>
          <w:i w:val="0"/>
          <w:sz w:val="22"/>
          <w:szCs w:val="22"/>
          <w:highlight w:val="yellow"/>
        </w:rPr>
        <w:t>dd</w:t>
      </w:r>
      <w:proofErr w:type="spellEnd"/>
      <w:r w:rsidR="007B53C8" w:rsidRPr="00317C8E">
        <w:rPr>
          <w:rStyle w:val="Emphasis"/>
          <w:i w:val="0"/>
          <w:sz w:val="22"/>
          <w:szCs w:val="22"/>
          <w:highlight w:val="yellow"/>
        </w:rPr>
        <w:t xml:space="preserve"> </w:t>
      </w:r>
      <w:proofErr w:type="spellStart"/>
      <w:r w:rsidR="007B53C8" w:rsidRPr="00317C8E">
        <w:rPr>
          <w:rStyle w:val="Emphasis"/>
          <w:i w:val="0"/>
          <w:sz w:val="22"/>
          <w:szCs w:val="22"/>
          <w:highlight w:val="yellow"/>
        </w:rPr>
        <w:t>Mmm</w:t>
      </w:r>
      <w:proofErr w:type="spellEnd"/>
      <w:r w:rsidR="007B53C8" w:rsidRPr="00317C8E">
        <w:rPr>
          <w:rStyle w:val="Emphasis"/>
          <w:i w:val="0"/>
          <w:sz w:val="22"/>
          <w:szCs w:val="22"/>
          <w:highlight w:val="yellow"/>
        </w:rPr>
        <w:t xml:space="preserve"> </w:t>
      </w:r>
      <w:r w:rsidR="0003530F" w:rsidRPr="00317C8E">
        <w:rPr>
          <w:rStyle w:val="Emphasis"/>
          <w:i w:val="0"/>
          <w:sz w:val="22"/>
          <w:szCs w:val="22"/>
          <w:highlight w:val="yellow"/>
        </w:rPr>
        <w:t>20YY</w:t>
      </w:r>
      <w:r w:rsidR="007B53C8" w:rsidRPr="00317C8E">
        <w:rPr>
          <w:rStyle w:val="Emphasis"/>
          <w:i w:val="0"/>
          <w:sz w:val="22"/>
          <w:szCs w:val="22"/>
        </w:rPr>
        <w:t xml:space="preserve">) is listed in </w:t>
      </w:r>
      <w:hyperlink w:anchor="_Annex_2:_" w:history="1">
        <w:r w:rsidR="007B53C8" w:rsidRPr="00317C8E">
          <w:rPr>
            <w:rStyle w:val="Hyperlink"/>
            <w:szCs w:val="22"/>
          </w:rPr>
          <w:t>Annex 2</w:t>
        </w:r>
      </w:hyperlink>
      <w:r w:rsidR="007B53C8" w:rsidRPr="00317C8E">
        <w:rPr>
          <w:rStyle w:val="Emphasis"/>
          <w:i w:val="0"/>
          <w:sz w:val="22"/>
          <w:szCs w:val="22"/>
        </w:rPr>
        <w:t xml:space="preserve"> and is available on request.</w:t>
      </w:r>
    </w:p>
    <w:p w14:paraId="770676B2" w14:textId="77777777" w:rsidR="00BC4A43" w:rsidRPr="00D17BFC" w:rsidRDefault="00BC4A43" w:rsidP="006E4FDB">
      <w:pPr>
        <w:pStyle w:val="Heading2"/>
      </w:pPr>
      <w:r>
        <w:t>Change Management Arrangements</w:t>
      </w:r>
    </w:p>
    <w:p w14:paraId="4E048CD0" w14:textId="35254791" w:rsidR="00BC4A43" w:rsidRDefault="007B53C8"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9C0616">
        <w:rPr>
          <w:rStyle w:val="Emphasis"/>
        </w:rPr>
        <w:t xml:space="preserve">The Change Management </w:t>
      </w:r>
      <w:r w:rsidR="00C54D9D">
        <w:rPr>
          <w:rStyle w:val="Emphasis"/>
        </w:rPr>
        <w:t>P</w:t>
      </w:r>
      <w:r w:rsidRPr="009C0616">
        <w:rPr>
          <w:rStyle w:val="Emphasis"/>
        </w:rPr>
        <w:t xml:space="preserve">lan must </w:t>
      </w:r>
      <w:r w:rsidR="00A205BE" w:rsidRPr="00A205BE">
        <w:rPr>
          <w:rStyle w:val="Emphasis"/>
        </w:rPr>
        <w:t>reflect the specific training and developmental needs of key groups of personnel and any required communication arrangements.</w:t>
      </w:r>
      <w:r w:rsidR="006C4F9E">
        <w:rPr>
          <w:rStyle w:val="Emphasis"/>
        </w:rPr>
        <w:t xml:space="preserve"> </w:t>
      </w:r>
      <w:r w:rsidR="00A205BE" w:rsidRPr="00A205BE">
        <w:rPr>
          <w:rStyle w:val="Emphasis"/>
        </w:rPr>
        <w:t xml:space="preserve"> It should be signed off by the stakeholders for the services and indicate </w:t>
      </w:r>
      <w:r w:rsidR="001349F4">
        <w:rPr>
          <w:rStyle w:val="Emphasis"/>
        </w:rPr>
        <w:t>customer (end-user) involvement</w:t>
      </w:r>
      <w:r w:rsidR="006C4F9E">
        <w:rPr>
          <w:rStyle w:val="Emphasis"/>
        </w:rPr>
        <w:t xml:space="preserve"> and agreement</w:t>
      </w:r>
      <w:r w:rsidR="00BC4A43">
        <w:rPr>
          <w:rStyle w:val="Emphasis"/>
        </w:rPr>
        <w:t>.</w:t>
      </w:r>
    </w:p>
    <w:p w14:paraId="1F9AF509" w14:textId="77777777" w:rsidR="00F813B6" w:rsidRDefault="00F813B6"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W</w:t>
      </w:r>
      <w:r w:rsidR="0099186F">
        <w:rPr>
          <w:rStyle w:val="Emphasis"/>
        </w:rPr>
        <w:t xml:space="preserve">here </w:t>
      </w:r>
      <w:r w:rsidR="0099186F" w:rsidRPr="00F813B6">
        <w:rPr>
          <w:rStyle w:val="Emphasis"/>
        </w:rPr>
        <w:t xml:space="preserve">change </w:t>
      </w:r>
      <w:r w:rsidR="0099186F">
        <w:rPr>
          <w:rStyle w:val="Emphasis"/>
        </w:rPr>
        <w:t xml:space="preserve">and benefit </w:t>
      </w:r>
      <w:r w:rsidR="0099186F" w:rsidRPr="00F813B6">
        <w:rPr>
          <w:rStyle w:val="Emphasis"/>
        </w:rPr>
        <w:t>management</w:t>
      </w:r>
      <w:r w:rsidR="0099186F">
        <w:rPr>
          <w:rStyle w:val="Emphasis"/>
        </w:rPr>
        <w:t xml:space="preserve"> are related to a programme, w</w:t>
      </w:r>
      <w:r>
        <w:rPr>
          <w:rStyle w:val="Emphasis"/>
        </w:rPr>
        <w:t xml:space="preserve">e recommend use of the Managing Successful Programmes (MSP) methodology </w:t>
      </w:r>
      <w:hyperlink r:id="rId26" w:history="1">
        <w:r w:rsidRPr="00317C8E">
          <w:rPr>
            <w:rStyle w:val="Emphasis"/>
            <w:u w:val="single"/>
          </w:rPr>
          <w:t>https://www.axelos.com/best-practice-solutions/</w:t>
        </w:r>
      </w:hyperlink>
    </w:p>
    <w:p w14:paraId="16B71C36" w14:textId="77777777" w:rsidR="00A205BE" w:rsidRPr="00996D0A" w:rsidRDefault="00A205BE" w:rsidP="00996D0A">
      <w:pPr>
        <w:pStyle w:val="Heading3"/>
        <w:rPr>
          <w:rStyle w:val="Emphasis"/>
          <w:i w:val="0"/>
          <w:iCs w:val="0"/>
          <w:color w:val="002469"/>
          <w:sz w:val="24"/>
        </w:rPr>
      </w:pPr>
      <w:r w:rsidRPr="00996D0A">
        <w:rPr>
          <w:rStyle w:val="Emphasis"/>
          <w:i w:val="0"/>
          <w:iCs w:val="0"/>
          <w:color w:val="002469"/>
          <w:sz w:val="24"/>
        </w:rPr>
        <w:t xml:space="preserve">Change </w:t>
      </w:r>
      <w:r w:rsidR="007458D7" w:rsidRPr="00996D0A">
        <w:rPr>
          <w:rStyle w:val="Emphasis"/>
          <w:i w:val="0"/>
          <w:iCs w:val="0"/>
          <w:color w:val="002469"/>
          <w:sz w:val="24"/>
        </w:rPr>
        <w:t xml:space="preserve">impact </w:t>
      </w:r>
      <w:r w:rsidRPr="00996D0A">
        <w:rPr>
          <w:rStyle w:val="Emphasis"/>
          <w:i w:val="0"/>
          <w:iCs w:val="0"/>
          <w:color w:val="002469"/>
          <w:sz w:val="24"/>
        </w:rPr>
        <w:t>assessment</w:t>
      </w:r>
    </w:p>
    <w:p w14:paraId="204089F9" w14:textId="77777777" w:rsidR="00C54D9D" w:rsidRPr="00317C8E" w:rsidRDefault="00A205BE" w:rsidP="00122AD6">
      <w:pPr>
        <w:spacing w:line="260" w:lineRule="atLeast"/>
        <w:rPr>
          <w:rStyle w:val="Emphasis"/>
          <w:i w:val="0"/>
          <w:sz w:val="22"/>
          <w:szCs w:val="22"/>
        </w:rPr>
      </w:pPr>
      <w:r w:rsidRPr="00317C8E">
        <w:rPr>
          <w:rStyle w:val="Emphasis"/>
          <w:i w:val="0"/>
          <w:sz w:val="22"/>
          <w:szCs w:val="22"/>
        </w:rPr>
        <w:t xml:space="preserve">An initial change impact assessment </w:t>
      </w:r>
      <w:r w:rsidR="00D33F55" w:rsidRPr="00317C8E">
        <w:rPr>
          <w:rStyle w:val="Emphasis"/>
          <w:i w:val="0"/>
          <w:sz w:val="22"/>
          <w:szCs w:val="22"/>
        </w:rPr>
        <w:t>(organisational or business change) for the Preferred O</w:t>
      </w:r>
      <w:r w:rsidRPr="00317C8E">
        <w:rPr>
          <w:rStyle w:val="Emphasis"/>
          <w:i w:val="0"/>
          <w:sz w:val="22"/>
          <w:szCs w:val="22"/>
        </w:rPr>
        <w:t xml:space="preserve">ption has been completed and highlights the main changes for stakeholders. </w:t>
      </w:r>
      <w:r w:rsidR="007E6969" w:rsidRPr="00317C8E">
        <w:rPr>
          <w:rStyle w:val="Emphasis"/>
          <w:i w:val="0"/>
          <w:sz w:val="22"/>
          <w:szCs w:val="22"/>
        </w:rPr>
        <w:t xml:space="preserve"> </w:t>
      </w:r>
      <w:r w:rsidR="00C54D9D" w:rsidRPr="00317C8E">
        <w:rPr>
          <w:rStyle w:val="Emphasis"/>
          <w:i w:val="0"/>
          <w:sz w:val="22"/>
          <w:szCs w:val="22"/>
        </w:rPr>
        <w:t>This information is included in the Change Management Plan.</w:t>
      </w:r>
    </w:p>
    <w:p w14:paraId="09C1F11A" w14:textId="1DE987C0" w:rsidR="00A205BE" w:rsidRPr="00317C8E" w:rsidRDefault="00A205BE" w:rsidP="006A024A">
      <w:pPr>
        <w:keepNext/>
        <w:spacing w:line="260" w:lineRule="atLeast"/>
        <w:rPr>
          <w:rStyle w:val="Emphasis"/>
          <w:i w:val="0"/>
          <w:sz w:val="22"/>
          <w:szCs w:val="22"/>
        </w:rPr>
      </w:pPr>
      <w:r w:rsidRPr="00317C8E">
        <w:rPr>
          <w:rStyle w:val="Emphasis"/>
          <w:i w:val="0"/>
          <w:sz w:val="22"/>
          <w:szCs w:val="22"/>
        </w:rPr>
        <w:lastRenderedPageBreak/>
        <w:t xml:space="preserve">The following table </w:t>
      </w:r>
      <w:r w:rsidRPr="00317C8E">
        <w:rPr>
          <w:rStyle w:val="Emphasis"/>
          <w:i w:val="0"/>
          <w:sz w:val="22"/>
          <w:szCs w:val="22"/>
          <w:u w:val="single"/>
        </w:rPr>
        <w:t>summarises</w:t>
      </w:r>
      <w:r w:rsidRPr="00317C8E">
        <w:rPr>
          <w:rStyle w:val="Emphasis"/>
          <w:i w:val="0"/>
          <w:sz w:val="22"/>
          <w:szCs w:val="22"/>
        </w:rPr>
        <w:t xml:space="preserve"> the initial </w:t>
      </w:r>
      <w:r w:rsidR="006A024A" w:rsidRPr="00317C8E">
        <w:rPr>
          <w:rStyle w:val="Emphasis"/>
          <w:i w:val="0"/>
          <w:sz w:val="22"/>
          <w:szCs w:val="22"/>
        </w:rPr>
        <w:t xml:space="preserve">change impact </w:t>
      </w:r>
      <w:r w:rsidRPr="00317C8E">
        <w:rPr>
          <w:rStyle w:val="Emphasis"/>
          <w:i w:val="0"/>
          <w:sz w:val="22"/>
          <w:szCs w:val="22"/>
        </w:rPr>
        <w:t>assessment.</w:t>
      </w:r>
    </w:p>
    <w:p w14:paraId="704B2FBC" w14:textId="6E94ADCC" w:rsidR="00A205BE" w:rsidRPr="00B0578D" w:rsidRDefault="001349F4" w:rsidP="00414BEF">
      <w:pPr>
        <w:pStyle w:val="TableHeading1"/>
        <w:spacing w:after="60" w:line="240" w:lineRule="auto"/>
        <w:rPr>
          <w:rStyle w:val="Emphasis"/>
          <w:b w:val="0"/>
          <w:iCs w:val="0"/>
          <w:color w:val="0000FF"/>
        </w:rPr>
      </w:pPr>
      <w:r w:rsidRPr="006C4F9E">
        <w:rPr>
          <w:rStyle w:val="Emphasis"/>
          <w:i w:val="0"/>
        </w:rPr>
        <w:t xml:space="preserve">Table </w:t>
      </w:r>
      <w:r w:rsidRPr="006C4F9E">
        <w:rPr>
          <w:rStyle w:val="Emphasis"/>
          <w:i w:val="0"/>
          <w:highlight w:val="yellow"/>
        </w:rPr>
        <w:t>x</w:t>
      </w:r>
      <w:r w:rsidR="00A205BE" w:rsidRPr="006C4F9E">
        <w:rPr>
          <w:rStyle w:val="Emphasis"/>
          <w:i w:val="0"/>
        </w:rPr>
        <w:t xml:space="preserve">: </w:t>
      </w:r>
      <w:r w:rsidR="00504C45" w:rsidRPr="00504C45">
        <w:rPr>
          <w:rStyle w:val="Emphasis"/>
          <w:b w:val="0"/>
          <w:bCs/>
          <w:i w:val="0"/>
        </w:rPr>
        <w:t xml:space="preserve">Summary </w:t>
      </w:r>
      <w:r w:rsidR="00504C45">
        <w:rPr>
          <w:rStyle w:val="Emphasis"/>
          <w:b w:val="0"/>
          <w:bCs/>
          <w:i w:val="0"/>
        </w:rPr>
        <w:t>a</w:t>
      </w:r>
      <w:r w:rsidR="00A205BE" w:rsidRPr="00504C45">
        <w:rPr>
          <w:rStyle w:val="Emphasis"/>
          <w:b w:val="0"/>
          <w:bCs/>
          <w:i w:val="0"/>
        </w:rPr>
        <w:t>s</w:t>
      </w:r>
      <w:r w:rsidR="00A205BE" w:rsidRPr="006C4F9E">
        <w:rPr>
          <w:rStyle w:val="Emphasis"/>
          <w:b w:val="0"/>
          <w:i w:val="0"/>
        </w:rPr>
        <w:t>sessment of organisational changes</w:t>
      </w:r>
      <w:r w:rsidR="00B0578D">
        <w:rPr>
          <w:rStyle w:val="Emphasis"/>
          <w:b w:val="0"/>
          <w:i w:val="0"/>
        </w:rPr>
        <w:t xml:space="preserve"> </w:t>
      </w:r>
      <w:r w:rsidR="00B0578D" w:rsidRPr="00B0578D">
        <w:rPr>
          <w:rStyle w:val="Emphasis"/>
          <w:b w:val="0"/>
          <w:iCs w:val="0"/>
          <w:color w:val="0000FF"/>
        </w:rPr>
        <w:t>(example</w:t>
      </w:r>
      <w:r w:rsidR="00122AD6">
        <w:rPr>
          <w:rStyle w:val="Emphasis"/>
          <w:b w:val="0"/>
          <w:iCs w:val="0"/>
          <w:color w:val="0000FF"/>
        </w:rPr>
        <w:t xml:space="preserve"> – use the format from your own change planning</w:t>
      </w:r>
      <w:r w:rsidR="00B0578D" w:rsidRPr="00B0578D">
        <w:rPr>
          <w:rStyle w:val="Emphasis"/>
          <w:b w:val="0"/>
          <w:iCs w:val="0"/>
          <w:color w:val="0000FF"/>
        </w:rPr>
        <w:t>)</w:t>
      </w:r>
    </w:p>
    <w:tbl>
      <w:tblPr>
        <w:tblW w:w="935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830"/>
        <w:gridCol w:w="1715"/>
        <w:gridCol w:w="4806"/>
      </w:tblGrid>
      <w:tr w:rsidR="00B0578D" w:rsidRPr="00B0578D" w14:paraId="7B10E2DC" w14:textId="77777777" w:rsidTr="00317C8E">
        <w:tc>
          <w:tcPr>
            <w:tcW w:w="2830" w:type="dxa"/>
            <w:shd w:val="clear" w:color="auto" w:fill="DEEAF6"/>
          </w:tcPr>
          <w:p w14:paraId="3BD7BD8C" w14:textId="65B7B907" w:rsidR="00B0578D" w:rsidRPr="00B0578D" w:rsidRDefault="00B0578D" w:rsidP="00122AD6">
            <w:pPr>
              <w:spacing w:before="40" w:after="40" w:line="240" w:lineRule="atLeast"/>
              <w:rPr>
                <w:rStyle w:val="Emphasis"/>
                <w:b/>
                <w:bCs/>
                <w:i w:val="0"/>
              </w:rPr>
            </w:pPr>
            <w:r w:rsidRPr="00B0578D">
              <w:rPr>
                <w:rStyle w:val="Emphasis"/>
                <w:b/>
                <w:bCs/>
                <w:i w:val="0"/>
              </w:rPr>
              <w:t>Affected team</w:t>
            </w:r>
            <w:r>
              <w:rPr>
                <w:rStyle w:val="Emphasis"/>
                <w:b/>
                <w:bCs/>
                <w:i w:val="0"/>
              </w:rPr>
              <w:t>/group</w:t>
            </w:r>
          </w:p>
        </w:tc>
        <w:tc>
          <w:tcPr>
            <w:tcW w:w="1715" w:type="dxa"/>
            <w:shd w:val="clear" w:color="auto" w:fill="DEEAF6"/>
          </w:tcPr>
          <w:p w14:paraId="5E8F8796" w14:textId="23724EF0" w:rsidR="00B0578D" w:rsidRPr="00B0578D" w:rsidRDefault="00B0578D" w:rsidP="00122AD6">
            <w:pPr>
              <w:spacing w:before="40" w:after="40" w:line="240" w:lineRule="atLeast"/>
              <w:rPr>
                <w:rStyle w:val="Emphasis"/>
                <w:b/>
                <w:bCs/>
                <w:i w:val="0"/>
              </w:rPr>
            </w:pPr>
            <w:r w:rsidRPr="00B0578D">
              <w:rPr>
                <w:rStyle w:val="Emphasis"/>
                <w:b/>
                <w:bCs/>
                <w:i w:val="0"/>
              </w:rPr>
              <w:t>Number of people</w:t>
            </w:r>
          </w:p>
        </w:tc>
        <w:tc>
          <w:tcPr>
            <w:tcW w:w="4806" w:type="dxa"/>
            <w:shd w:val="clear" w:color="auto" w:fill="DEEAF6"/>
          </w:tcPr>
          <w:p w14:paraId="2826FEFC" w14:textId="18802485" w:rsidR="00B0578D" w:rsidRPr="00B0578D" w:rsidRDefault="00B0578D" w:rsidP="00122AD6">
            <w:pPr>
              <w:spacing w:before="40" w:after="40" w:line="240" w:lineRule="atLeast"/>
              <w:rPr>
                <w:rStyle w:val="Emphasis"/>
                <w:b/>
                <w:bCs/>
                <w:i w:val="0"/>
              </w:rPr>
            </w:pPr>
            <w:r>
              <w:rPr>
                <w:rStyle w:val="Emphasis"/>
                <w:b/>
                <w:bCs/>
                <w:i w:val="0"/>
              </w:rPr>
              <w:t>Summary of impact</w:t>
            </w:r>
          </w:p>
        </w:tc>
      </w:tr>
      <w:tr w:rsidR="00B0578D" w:rsidRPr="00504C45" w14:paraId="44CFED6F" w14:textId="77777777" w:rsidTr="00317C8E">
        <w:tc>
          <w:tcPr>
            <w:tcW w:w="2830" w:type="dxa"/>
            <w:shd w:val="clear" w:color="auto" w:fill="auto"/>
          </w:tcPr>
          <w:p w14:paraId="57A05816" w14:textId="499EB762" w:rsidR="00B0578D" w:rsidRPr="00504C45" w:rsidRDefault="00B0578D" w:rsidP="00122AD6">
            <w:pPr>
              <w:spacing w:before="40" w:after="40" w:line="240" w:lineRule="atLeast"/>
              <w:rPr>
                <w:rStyle w:val="Emphasis"/>
                <w:i w:val="0"/>
              </w:rPr>
            </w:pPr>
            <w:r>
              <w:rPr>
                <w:rStyle w:val="Emphasis"/>
                <w:i w:val="0"/>
              </w:rPr>
              <w:t>(internal) team</w:t>
            </w:r>
            <w:r w:rsidRPr="00504C45">
              <w:rPr>
                <w:rStyle w:val="Emphasis"/>
                <w:i w:val="0"/>
              </w:rPr>
              <w:t xml:space="preserve"> affected</w:t>
            </w:r>
          </w:p>
          <w:p w14:paraId="0D194124" w14:textId="77777777" w:rsidR="00B0578D" w:rsidRPr="00504C45" w:rsidRDefault="00B0578D" w:rsidP="00804DC6">
            <w:pPr>
              <w:pStyle w:val="ListParagraph"/>
              <w:numPr>
                <w:ilvl w:val="0"/>
                <w:numId w:val="41"/>
              </w:numPr>
              <w:spacing w:before="40" w:after="40" w:line="240" w:lineRule="atLeast"/>
              <w:ind w:left="306" w:hanging="284"/>
              <w:rPr>
                <w:rStyle w:val="Emphasis"/>
                <w:i w:val="0"/>
              </w:rPr>
            </w:pPr>
            <w:r w:rsidRPr="00504C45">
              <w:rPr>
                <w:rStyle w:val="Emphasis"/>
                <w:i w:val="0"/>
              </w:rPr>
              <w:t>Number of staff affected</w:t>
            </w:r>
          </w:p>
          <w:p w14:paraId="63E24F06" w14:textId="77777777" w:rsidR="00B0578D" w:rsidRDefault="00B0578D" w:rsidP="00122AD6">
            <w:pPr>
              <w:spacing w:before="40" w:after="40" w:line="240" w:lineRule="atLeast"/>
              <w:rPr>
                <w:rStyle w:val="Emphasis"/>
                <w:i w:val="0"/>
              </w:rPr>
            </w:pPr>
            <w:r>
              <w:rPr>
                <w:rStyle w:val="Emphasis"/>
                <w:i w:val="0"/>
              </w:rPr>
              <w:t>(external) group affected</w:t>
            </w:r>
          </w:p>
          <w:p w14:paraId="0F732F78" w14:textId="0C6AB76E" w:rsidR="00B0578D" w:rsidRPr="00504C45" w:rsidRDefault="00B0578D" w:rsidP="00804DC6">
            <w:pPr>
              <w:pStyle w:val="ListParagraph"/>
              <w:numPr>
                <w:ilvl w:val="0"/>
                <w:numId w:val="41"/>
              </w:numPr>
              <w:spacing w:before="40" w:after="40" w:line="240" w:lineRule="atLeast"/>
              <w:ind w:left="306" w:hanging="284"/>
              <w:rPr>
                <w:rStyle w:val="Emphasis"/>
                <w:i w:val="0"/>
              </w:rPr>
            </w:pPr>
            <w:r>
              <w:rPr>
                <w:rStyle w:val="Emphasis"/>
                <w:i w:val="0"/>
              </w:rPr>
              <w:t>Number of users affected</w:t>
            </w:r>
          </w:p>
        </w:tc>
        <w:tc>
          <w:tcPr>
            <w:tcW w:w="1715" w:type="dxa"/>
          </w:tcPr>
          <w:p w14:paraId="50F0BEEC" w14:textId="77777777" w:rsidR="00B0578D" w:rsidRPr="00504C45" w:rsidRDefault="00B0578D" w:rsidP="00122AD6">
            <w:pPr>
              <w:spacing w:before="40" w:after="40" w:line="240" w:lineRule="atLeast"/>
              <w:rPr>
                <w:rStyle w:val="Emphasis"/>
                <w:i w:val="0"/>
              </w:rPr>
            </w:pPr>
          </w:p>
        </w:tc>
        <w:tc>
          <w:tcPr>
            <w:tcW w:w="4806" w:type="dxa"/>
            <w:shd w:val="clear" w:color="auto" w:fill="auto"/>
          </w:tcPr>
          <w:p w14:paraId="3004D79A" w14:textId="77777777" w:rsidR="00B0578D" w:rsidRPr="00504C45" w:rsidRDefault="00B0578D" w:rsidP="00122AD6">
            <w:pPr>
              <w:spacing w:before="40" w:after="40" w:line="240" w:lineRule="atLeast"/>
              <w:rPr>
                <w:rStyle w:val="Emphasis"/>
                <w:i w:val="0"/>
              </w:rPr>
            </w:pPr>
          </w:p>
        </w:tc>
      </w:tr>
    </w:tbl>
    <w:p w14:paraId="3439DD99" w14:textId="77777777" w:rsidR="00A205BE" w:rsidRPr="00996D0A" w:rsidRDefault="00A205BE" w:rsidP="00996D0A">
      <w:pPr>
        <w:pStyle w:val="Heading3"/>
        <w:rPr>
          <w:rStyle w:val="Emphasis"/>
          <w:i w:val="0"/>
          <w:iCs w:val="0"/>
          <w:color w:val="002469"/>
          <w:sz w:val="24"/>
        </w:rPr>
      </w:pPr>
      <w:r w:rsidRPr="00996D0A">
        <w:rPr>
          <w:rStyle w:val="Emphasis"/>
          <w:i w:val="0"/>
          <w:iCs w:val="0"/>
          <w:color w:val="002469"/>
          <w:sz w:val="24"/>
        </w:rPr>
        <w:t>Managing the change process</w:t>
      </w:r>
    </w:p>
    <w:p w14:paraId="20384E3D" w14:textId="4FF9C562" w:rsidR="00760C40" w:rsidRPr="00317C8E" w:rsidRDefault="00A205BE" w:rsidP="00122AD6">
      <w:pPr>
        <w:spacing w:line="260" w:lineRule="atLeast"/>
        <w:rPr>
          <w:rStyle w:val="Emphasis"/>
          <w:i w:val="0"/>
          <w:sz w:val="22"/>
          <w:szCs w:val="22"/>
        </w:rPr>
      </w:pPr>
      <w:r w:rsidRPr="00317C8E">
        <w:rPr>
          <w:rStyle w:val="Emphasis"/>
          <w:i w:val="0"/>
          <w:sz w:val="22"/>
          <w:szCs w:val="22"/>
        </w:rPr>
        <w:t xml:space="preserve">The change management </w:t>
      </w:r>
      <w:r w:rsidR="00D33F55" w:rsidRPr="00317C8E">
        <w:rPr>
          <w:rStyle w:val="Emphasis"/>
          <w:i w:val="0"/>
          <w:sz w:val="22"/>
          <w:szCs w:val="22"/>
        </w:rPr>
        <w:t xml:space="preserve">approach, </w:t>
      </w:r>
      <w:r w:rsidRPr="00317C8E">
        <w:rPr>
          <w:rStyle w:val="Emphasis"/>
          <w:i w:val="0"/>
          <w:sz w:val="22"/>
          <w:szCs w:val="22"/>
        </w:rPr>
        <w:t>reporting lines, roles and responsibilities are</w:t>
      </w:r>
      <w:r w:rsidR="007E6969" w:rsidRPr="00317C8E">
        <w:rPr>
          <w:rStyle w:val="Emphasis"/>
          <w:i w:val="0"/>
          <w:sz w:val="22"/>
          <w:szCs w:val="22"/>
        </w:rPr>
        <w:t xml:space="preserve"> documented in detail in the Change Management Plan </w:t>
      </w:r>
      <w:r w:rsidR="007E6969" w:rsidRPr="00317C8E">
        <w:rPr>
          <w:rStyle w:val="Emphasis"/>
          <w:color w:val="0000FF"/>
          <w:sz w:val="22"/>
          <w:szCs w:val="22"/>
        </w:rPr>
        <w:t>or equivalent document</w:t>
      </w:r>
      <w:r w:rsidR="007E6969" w:rsidRPr="00317C8E">
        <w:rPr>
          <w:rStyle w:val="Emphasis"/>
          <w:i w:val="0"/>
          <w:sz w:val="22"/>
          <w:szCs w:val="22"/>
        </w:rPr>
        <w:t xml:space="preserve">.  </w:t>
      </w:r>
      <w:r w:rsidR="007B53C8" w:rsidRPr="00317C8E">
        <w:rPr>
          <w:rStyle w:val="Emphasis"/>
          <w:i w:val="0"/>
          <w:sz w:val="22"/>
          <w:szCs w:val="22"/>
        </w:rPr>
        <w:t xml:space="preserve">This is a living document; the current version (as at </w:t>
      </w:r>
      <w:proofErr w:type="spellStart"/>
      <w:r w:rsidR="007B53C8" w:rsidRPr="00317C8E">
        <w:rPr>
          <w:rStyle w:val="Emphasis"/>
          <w:i w:val="0"/>
          <w:sz w:val="22"/>
          <w:szCs w:val="22"/>
          <w:highlight w:val="yellow"/>
        </w:rPr>
        <w:t>dd</w:t>
      </w:r>
      <w:proofErr w:type="spellEnd"/>
      <w:r w:rsidR="007B53C8" w:rsidRPr="00317C8E">
        <w:rPr>
          <w:rStyle w:val="Emphasis"/>
          <w:i w:val="0"/>
          <w:sz w:val="22"/>
          <w:szCs w:val="22"/>
          <w:highlight w:val="yellow"/>
        </w:rPr>
        <w:t xml:space="preserve"> </w:t>
      </w:r>
      <w:proofErr w:type="spellStart"/>
      <w:r w:rsidR="007B53C8" w:rsidRPr="00317C8E">
        <w:rPr>
          <w:rStyle w:val="Emphasis"/>
          <w:i w:val="0"/>
          <w:sz w:val="22"/>
          <w:szCs w:val="22"/>
          <w:highlight w:val="yellow"/>
        </w:rPr>
        <w:t>Mmm</w:t>
      </w:r>
      <w:proofErr w:type="spellEnd"/>
      <w:r w:rsidR="007B53C8" w:rsidRPr="00317C8E">
        <w:rPr>
          <w:rStyle w:val="Emphasis"/>
          <w:i w:val="0"/>
          <w:sz w:val="22"/>
          <w:szCs w:val="22"/>
          <w:highlight w:val="yellow"/>
        </w:rPr>
        <w:t xml:space="preserve"> </w:t>
      </w:r>
      <w:r w:rsidR="0003530F" w:rsidRPr="00317C8E">
        <w:rPr>
          <w:rStyle w:val="Emphasis"/>
          <w:i w:val="0"/>
          <w:sz w:val="22"/>
          <w:szCs w:val="22"/>
          <w:highlight w:val="yellow"/>
        </w:rPr>
        <w:t>20YY</w:t>
      </w:r>
      <w:r w:rsidR="007B53C8" w:rsidRPr="00317C8E">
        <w:rPr>
          <w:rStyle w:val="Emphasis"/>
          <w:i w:val="0"/>
          <w:sz w:val="22"/>
          <w:szCs w:val="22"/>
        </w:rPr>
        <w:t xml:space="preserve">) is listed in </w:t>
      </w:r>
      <w:hyperlink w:anchor="_Annex_2:_" w:history="1">
        <w:r w:rsidR="007B53C8" w:rsidRPr="00317C8E">
          <w:rPr>
            <w:rStyle w:val="Hyperlink"/>
            <w:szCs w:val="22"/>
          </w:rPr>
          <w:t>Annex 2</w:t>
        </w:r>
      </w:hyperlink>
      <w:r w:rsidR="007B53C8" w:rsidRPr="00317C8E">
        <w:rPr>
          <w:rStyle w:val="Emphasis"/>
          <w:i w:val="0"/>
          <w:sz w:val="22"/>
          <w:szCs w:val="22"/>
        </w:rPr>
        <w:t xml:space="preserve"> and is available on request.</w:t>
      </w:r>
    </w:p>
    <w:p w14:paraId="2B1E3B80" w14:textId="77777777" w:rsidR="003736C9" w:rsidRPr="00317C8E" w:rsidRDefault="003736C9" w:rsidP="006E4FDB">
      <w:pPr>
        <w:pStyle w:val="Heading2"/>
      </w:pPr>
      <w:r w:rsidRPr="00317C8E">
        <w:t>Benefits Management Arrangements</w:t>
      </w:r>
    </w:p>
    <w:p w14:paraId="41DD5FF6" w14:textId="77777777" w:rsidR="0085152C" w:rsidRPr="00996D0A" w:rsidRDefault="0085152C" w:rsidP="00211397">
      <w:pPr>
        <w:pStyle w:val="Heading3"/>
        <w:rPr>
          <w:rStyle w:val="Emphasis"/>
          <w:i w:val="0"/>
          <w:iCs w:val="0"/>
          <w:color w:val="002469"/>
          <w:sz w:val="24"/>
        </w:rPr>
      </w:pPr>
      <w:r w:rsidRPr="00996D0A">
        <w:rPr>
          <w:rStyle w:val="Emphasis"/>
          <w:i w:val="0"/>
          <w:iCs w:val="0"/>
          <w:color w:val="002469"/>
          <w:sz w:val="24"/>
        </w:rPr>
        <w:t xml:space="preserve">Benefits </w:t>
      </w:r>
      <w:r w:rsidR="007B53C8" w:rsidRPr="00996D0A">
        <w:rPr>
          <w:rStyle w:val="Emphasis"/>
          <w:i w:val="0"/>
          <w:iCs w:val="0"/>
          <w:color w:val="002469"/>
          <w:sz w:val="24"/>
        </w:rPr>
        <w:t>Realisation Plan</w:t>
      </w:r>
    </w:p>
    <w:p w14:paraId="64B73EA0" w14:textId="015139FE" w:rsidR="007B53C8" w:rsidRDefault="007B53C8"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Summarise the Benefits Realisation Plan (BRP) here and attach the full BRP as </w:t>
      </w:r>
      <w:hyperlink w:anchor="_Benefits_Realisation_Plan" w:history="1">
        <w:r w:rsidR="00B0578D" w:rsidRPr="00317C8E">
          <w:rPr>
            <w:rStyle w:val="Emphasis"/>
          </w:rPr>
          <w:t>Annex 6</w:t>
        </w:r>
      </w:hyperlink>
      <w:r w:rsidRPr="009C0616">
        <w:rPr>
          <w:rStyle w:val="Emphasis"/>
        </w:rPr>
        <w:t>.</w:t>
      </w:r>
      <w:r>
        <w:rPr>
          <w:rStyle w:val="Emphasis"/>
        </w:rPr>
        <w:t xml:space="preserve"> Secondary Benefits</w:t>
      </w:r>
      <w:r w:rsidRPr="00A205BE">
        <w:rPr>
          <w:rStyle w:val="Emphasis"/>
        </w:rPr>
        <w:t xml:space="preserve"> do not need to be itemised in </w:t>
      </w:r>
      <w:r>
        <w:rPr>
          <w:rStyle w:val="Emphasis"/>
        </w:rPr>
        <w:t>the Benefits Realisation Plan</w:t>
      </w:r>
      <w:r w:rsidR="00B0578D">
        <w:rPr>
          <w:rStyle w:val="Emphasis"/>
        </w:rPr>
        <w:t xml:space="preserve"> (but should be listed for reference)</w:t>
      </w:r>
      <w:r>
        <w:rPr>
          <w:rStyle w:val="Emphasis"/>
        </w:rPr>
        <w:t xml:space="preserve"> o</w:t>
      </w:r>
      <w:r w:rsidRPr="00A205BE">
        <w:rPr>
          <w:rStyle w:val="Emphasis"/>
        </w:rPr>
        <w:t>r</w:t>
      </w:r>
      <w:r>
        <w:rPr>
          <w:rStyle w:val="Emphasis"/>
        </w:rPr>
        <w:t xml:space="preserve"> </w:t>
      </w:r>
      <w:r w:rsidRPr="00A205BE">
        <w:rPr>
          <w:rStyle w:val="Emphasis"/>
        </w:rPr>
        <w:t>in this section.</w:t>
      </w:r>
    </w:p>
    <w:p w14:paraId="6000F6EC" w14:textId="0F9030C0" w:rsidR="00C8560D" w:rsidRPr="00317C8E" w:rsidRDefault="007D2D83" w:rsidP="00122AD6">
      <w:pPr>
        <w:spacing w:line="260" w:lineRule="atLeast"/>
        <w:rPr>
          <w:rStyle w:val="Emphasis"/>
          <w:i w:val="0"/>
          <w:sz w:val="22"/>
          <w:szCs w:val="22"/>
        </w:rPr>
      </w:pPr>
      <w:r w:rsidRPr="00317C8E">
        <w:rPr>
          <w:rStyle w:val="Emphasis"/>
          <w:i w:val="0"/>
          <w:sz w:val="22"/>
          <w:szCs w:val="22"/>
        </w:rPr>
        <w:t xml:space="preserve">The </w:t>
      </w:r>
      <w:r w:rsidR="00ED396D" w:rsidRPr="00317C8E">
        <w:rPr>
          <w:rStyle w:val="Emphasis"/>
          <w:i w:val="0"/>
          <w:sz w:val="22"/>
          <w:szCs w:val="22"/>
        </w:rPr>
        <w:t xml:space="preserve">detailed </w:t>
      </w:r>
      <w:r w:rsidRPr="00317C8E">
        <w:rPr>
          <w:rStyle w:val="Emphasis"/>
          <w:i w:val="0"/>
          <w:sz w:val="22"/>
          <w:szCs w:val="22"/>
        </w:rPr>
        <w:t>Benefits Realisation Plan ha</w:t>
      </w:r>
      <w:r w:rsidR="00C8560D" w:rsidRPr="00317C8E">
        <w:rPr>
          <w:rStyle w:val="Emphasis"/>
          <w:i w:val="0"/>
          <w:sz w:val="22"/>
          <w:szCs w:val="22"/>
        </w:rPr>
        <w:t>s</w:t>
      </w:r>
      <w:r w:rsidRPr="00317C8E">
        <w:rPr>
          <w:rStyle w:val="Emphasis"/>
          <w:i w:val="0"/>
          <w:sz w:val="22"/>
          <w:szCs w:val="22"/>
        </w:rPr>
        <w:t xml:space="preserve"> been reviewed and</w:t>
      </w:r>
      <w:r w:rsidR="00C8560D" w:rsidRPr="00317C8E">
        <w:rPr>
          <w:rStyle w:val="Emphasis"/>
          <w:i w:val="0"/>
          <w:sz w:val="22"/>
          <w:szCs w:val="22"/>
        </w:rPr>
        <w:t xml:space="preserve"> </w:t>
      </w:r>
      <w:r w:rsidR="00C8560D" w:rsidRPr="00317C8E">
        <w:rPr>
          <w:rStyle w:val="Emphasis"/>
          <w:i w:val="0"/>
          <w:color w:val="000000" w:themeColor="text1"/>
          <w:sz w:val="22"/>
          <w:szCs w:val="22"/>
          <w:highlight w:val="yellow"/>
        </w:rPr>
        <w:t>there are no substantive changes</w:t>
      </w:r>
      <w:r w:rsidRPr="00317C8E">
        <w:rPr>
          <w:rStyle w:val="Emphasis"/>
          <w:i w:val="0"/>
          <w:color w:val="000000" w:themeColor="text1"/>
          <w:sz w:val="22"/>
          <w:szCs w:val="22"/>
          <w:highlight w:val="yellow"/>
        </w:rPr>
        <w:t xml:space="preserve"> </w:t>
      </w:r>
    </w:p>
    <w:p w14:paraId="5F62F8A9" w14:textId="02091F65" w:rsidR="00C8560D" w:rsidRPr="00317C8E" w:rsidRDefault="00C8560D" w:rsidP="00122AD6">
      <w:pPr>
        <w:spacing w:line="260" w:lineRule="atLeast"/>
        <w:rPr>
          <w:rStyle w:val="Emphasis"/>
          <w:iCs w:val="0"/>
          <w:color w:val="0000FF"/>
          <w:sz w:val="22"/>
          <w:szCs w:val="22"/>
          <w:highlight w:val="yellow"/>
        </w:rPr>
      </w:pPr>
      <w:r w:rsidRPr="00317C8E">
        <w:rPr>
          <w:rStyle w:val="Emphasis"/>
          <w:iCs w:val="0"/>
          <w:color w:val="0000FF"/>
          <w:sz w:val="22"/>
          <w:szCs w:val="22"/>
          <w:highlight w:val="yellow"/>
        </w:rPr>
        <w:t>-</w:t>
      </w:r>
      <w:r w:rsidR="00317C8E">
        <w:rPr>
          <w:rStyle w:val="Emphasis"/>
          <w:iCs w:val="0"/>
          <w:color w:val="0000FF"/>
          <w:sz w:val="22"/>
          <w:szCs w:val="22"/>
          <w:highlight w:val="yellow"/>
        </w:rPr>
        <w:t xml:space="preserve"> OR </w:t>
      </w:r>
      <w:r w:rsidRPr="00317C8E">
        <w:rPr>
          <w:rStyle w:val="Emphasis"/>
          <w:iCs w:val="0"/>
          <w:color w:val="0000FF"/>
          <w:sz w:val="22"/>
          <w:szCs w:val="22"/>
          <w:highlight w:val="yellow"/>
        </w:rPr>
        <w:t>-</w:t>
      </w:r>
    </w:p>
    <w:p w14:paraId="7B27CBFC" w14:textId="3FB0E680" w:rsidR="00C8560D" w:rsidRPr="00317C8E" w:rsidRDefault="00C8560D" w:rsidP="00122AD6">
      <w:pPr>
        <w:spacing w:line="260" w:lineRule="atLeast"/>
        <w:rPr>
          <w:rStyle w:val="Emphasis"/>
          <w:i w:val="0"/>
          <w:color w:val="000000" w:themeColor="text1"/>
          <w:sz w:val="22"/>
          <w:szCs w:val="22"/>
          <w:highlight w:val="yellow"/>
        </w:rPr>
      </w:pPr>
      <w:proofErr w:type="gramStart"/>
      <w:r w:rsidRPr="00317C8E">
        <w:rPr>
          <w:rStyle w:val="Emphasis"/>
          <w:i w:val="0"/>
          <w:color w:val="000000" w:themeColor="text1"/>
          <w:sz w:val="22"/>
          <w:szCs w:val="22"/>
          <w:highlight w:val="yellow"/>
        </w:rPr>
        <w:t>has</w:t>
      </w:r>
      <w:proofErr w:type="gramEnd"/>
      <w:r w:rsidRPr="00317C8E">
        <w:rPr>
          <w:rStyle w:val="Emphasis"/>
          <w:i w:val="0"/>
          <w:color w:val="000000" w:themeColor="text1"/>
          <w:sz w:val="22"/>
          <w:szCs w:val="22"/>
          <w:highlight w:val="yellow"/>
        </w:rPr>
        <w:t xml:space="preserve"> been </w:t>
      </w:r>
      <w:r w:rsidR="007D2D83" w:rsidRPr="00317C8E">
        <w:rPr>
          <w:rStyle w:val="Emphasis"/>
          <w:i w:val="0"/>
          <w:color w:val="000000" w:themeColor="text1"/>
          <w:sz w:val="22"/>
          <w:szCs w:val="22"/>
          <w:highlight w:val="yellow"/>
        </w:rPr>
        <w:t xml:space="preserve">updated to reflect </w:t>
      </w:r>
      <w:r w:rsidRPr="00317C8E">
        <w:rPr>
          <w:rStyle w:val="Emphasis"/>
          <w:i w:val="0"/>
          <w:color w:val="000000" w:themeColor="text1"/>
          <w:sz w:val="22"/>
          <w:szCs w:val="22"/>
          <w:highlight w:val="yellow"/>
        </w:rPr>
        <w:t xml:space="preserve">the following </w:t>
      </w:r>
      <w:r w:rsidR="007D2D83" w:rsidRPr="00317C8E">
        <w:rPr>
          <w:rStyle w:val="Emphasis"/>
          <w:i w:val="0"/>
          <w:color w:val="000000" w:themeColor="text1"/>
          <w:sz w:val="22"/>
          <w:szCs w:val="22"/>
          <w:highlight w:val="yellow"/>
        </w:rPr>
        <w:t>impact</w:t>
      </w:r>
      <w:r w:rsidRPr="00317C8E">
        <w:rPr>
          <w:rStyle w:val="Emphasis"/>
          <w:i w:val="0"/>
          <w:color w:val="000000" w:themeColor="text1"/>
          <w:sz w:val="22"/>
          <w:szCs w:val="22"/>
          <w:highlight w:val="yellow"/>
        </w:rPr>
        <w:t>s</w:t>
      </w:r>
      <w:r w:rsidR="007D2D83" w:rsidRPr="00317C8E">
        <w:rPr>
          <w:rStyle w:val="Emphasis"/>
          <w:i w:val="0"/>
          <w:color w:val="000000" w:themeColor="text1"/>
          <w:sz w:val="22"/>
          <w:szCs w:val="22"/>
          <w:highlight w:val="yellow"/>
        </w:rPr>
        <w:t xml:space="preserve"> from the revised solution and negotiated contract arrangements</w:t>
      </w:r>
      <w:r w:rsidRPr="00317C8E">
        <w:rPr>
          <w:rStyle w:val="Emphasis"/>
          <w:i w:val="0"/>
          <w:color w:val="000000" w:themeColor="text1"/>
          <w:sz w:val="22"/>
          <w:szCs w:val="22"/>
          <w:highlight w:val="yellow"/>
        </w:rPr>
        <w:t>:</w:t>
      </w:r>
    </w:p>
    <w:p w14:paraId="0B31F1C4" w14:textId="06D56594" w:rsidR="00C8560D" w:rsidRPr="00317C8E" w:rsidRDefault="00C8560D" w:rsidP="00317C8E">
      <w:pPr>
        <w:pStyle w:val="ListParagraph"/>
        <w:numPr>
          <w:ilvl w:val="0"/>
          <w:numId w:val="38"/>
        </w:numPr>
        <w:spacing w:line="260" w:lineRule="atLeast"/>
        <w:ind w:left="425" w:hanging="425"/>
        <w:rPr>
          <w:rStyle w:val="Emphasis"/>
          <w:iCs w:val="0"/>
          <w:color w:val="0000FF"/>
          <w:sz w:val="22"/>
          <w:szCs w:val="22"/>
          <w:highlight w:val="yellow"/>
        </w:rPr>
      </w:pPr>
      <w:proofErr w:type="gramStart"/>
      <w:r w:rsidRPr="00317C8E">
        <w:rPr>
          <w:rStyle w:val="Emphasis"/>
          <w:iCs w:val="0"/>
          <w:color w:val="0000FF"/>
          <w:sz w:val="22"/>
          <w:szCs w:val="22"/>
          <w:highlight w:val="yellow"/>
        </w:rPr>
        <w:t>list</w:t>
      </w:r>
      <w:proofErr w:type="gramEnd"/>
      <w:r w:rsidR="007D2D83" w:rsidRPr="00317C8E">
        <w:rPr>
          <w:rStyle w:val="Emphasis"/>
          <w:iCs w:val="0"/>
          <w:color w:val="0000FF"/>
          <w:sz w:val="22"/>
          <w:szCs w:val="22"/>
          <w:highlight w:val="yellow"/>
        </w:rPr>
        <w:t xml:space="preserve">.  </w:t>
      </w:r>
    </w:p>
    <w:p w14:paraId="309E9B1B" w14:textId="77777777" w:rsidR="00C8560D" w:rsidRPr="00317C8E" w:rsidRDefault="00A205BE" w:rsidP="00122AD6">
      <w:pPr>
        <w:spacing w:line="260" w:lineRule="atLeast"/>
        <w:rPr>
          <w:rStyle w:val="Emphasis"/>
          <w:i w:val="0"/>
          <w:sz w:val="22"/>
          <w:szCs w:val="22"/>
        </w:rPr>
      </w:pPr>
      <w:r w:rsidRPr="00317C8E">
        <w:rPr>
          <w:rStyle w:val="Emphasis"/>
          <w:i w:val="0"/>
          <w:sz w:val="22"/>
          <w:szCs w:val="22"/>
        </w:rPr>
        <w:t xml:space="preserve">The </w:t>
      </w:r>
      <w:r w:rsidR="00C8560D" w:rsidRPr="00317C8E">
        <w:rPr>
          <w:rStyle w:val="Emphasis"/>
          <w:i w:val="0"/>
          <w:sz w:val="22"/>
          <w:szCs w:val="22"/>
        </w:rPr>
        <w:t>Benefits Realisation plan describes</w:t>
      </w:r>
      <w:r w:rsidRPr="00317C8E">
        <w:rPr>
          <w:rStyle w:val="Emphasis"/>
          <w:i w:val="0"/>
          <w:sz w:val="22"/>
          <w:szCs w:val="22"/>
        </w:rPr>
        <w:t xml:space="preserve"> expected benefits</w:t>
      </w:r>
      <w:r w:rsidR="001349F4" w:rsidRPr="00317C8E">
        <w:rPr>
          <w:rStyle w:val="Emphasis"/>
          <w:i w:val="0"/>
          <w:sz w:val="22"/>
          <w:szCs w:val="22"/>
        </w:rPr>
        <w:t xml:space="preserve"> (monetary and non-monetary)</w:t>
      </w:r>
      <w:r w:rsidR="00954F85" w:rsidRPr="00317C8E">
        <w:rPr>
          <w:rStyle w:val="Emphasis"/>
          <w:i w:val="0"/>
          <w:sz w:val="22"/>
          <w:szCs w:val="22"/>
        </w:rPr>
        <w:t xml:space="preserve">, </w:t>
      </w:r>
      <w:r w:rsidR="00C8560D" w:rsidRPr="00317C8E">
        <w:rPr>
          <w:rStyle w:val="Emphasis"/>
          <w:i w:val="0"/>
          <w:sz w:val="22"/>
          <w:szCs w:val="22"/>
        </w:rPr>
        <w:t>assigns B</w:t>
      </w:r>
      <w:r w:rsidR="00954F85" w:rsidRPr="00317C8E">
        <w:rPr>
          <w:rStyle w:val="Emphasis"/>
          <w:i w:val="0"/>
          <w:sz w:val="22"/>
          <w:szCs w:val="22"/>
        </w:rPr>
        <w:t xml:space="preserve">enefit </w:t>
      </w:r>
      <w:r w:rsidR="00C8560D" w:rsidRPr="00317C8E">
        <w:rPr>
          <w:rStyle w:val="Emphasis"/>
          <w:i w:val="0"/>
          <w:sz w:val="22"/>
          <w:szCs w:val="22"/>
        </w:rPr>
        <w:t>O</w:t>
      </w:r>
      <w:r w:rsidR="00954F85" w:rsidRPr="00317C8E">
        <w:rPr>
          <w:rStyle w:val="Emphasis"/>
          <w:i w:val="0"/>
          <w:sz w:val="22"/>
          <w:szCs w:val="22"/>
        </w:rPr>
        <w:t>wners,</w:t>
      </w:r>
      <w:r w:rsidRPr="00317C8E">
        <w:rPr>
          <w:rStyle w:val="Emphasis"/>
          <w:i w:val="0"/>
          <w:sz w:val="22"/>
          <w:szCs w:val="22"/>
        </w:rPr>
        <w:t xml:space="preserve"> </w:t>
      </w:r>
      <w:r w:rsidR="00B30E58" w:rsidRPr="00317C8E">
        <w:rPr>
          <w:rStyle w:val="Emphasis"/>
          <w:i w:val="0"/>
          <w:sz w:val="22"/>
          <w:szCs w:val="22"/>
        </w:rPr>
        <w:t xml:space="preserve">and </w:t>
      </w:r>
      <w:r w:rsidR="00C8560D" w:rsidRPr="00317C8E">
        <w:rPr>
          <w:rStyle w:val="Emphasis"/>
          <w:i w:val="0"/>
          <w:sz w:val="22"/>
          <w:szCs w:val="22"/>
        </w:rPr>
        <w:t xml:space="preserve">describes </w:t>
      </w:r>
      <w:r w:rsidRPr="00317C8E">
        <w:rPr>
          <w:rStyle w:val="Emphasis"/>
          <w:i w:val="0"/>
          <w:sz w:val="22"/>
          <w:szCs w:val="22"/>
        </w:rPr>
        <w:t xml:space="preserve">how </w:t>
      </w:r>
      <w:r w:rsidR="00B30E58" w:rsidRPr="00317C8E">
        <w:rPr>
          <w:rStyle w:val="Emphasis"/>
          <w:i w:val="0"/>
          <w:sz w:val="22"/>
          <w:szCs w:val="22"/>
        </w:rPr>
        <w:t xml:space="preserve">(and by when) </w:t>
      </w:r>
      <w:r w:rsidR="00954F85" w:rsidRPr="00317C8E">
        <w:rPr>
          <w:rStyle w:val="Emphasis"/>
          <w:i w:val="0"/>
          <w:sz w:val="22"/>
          <w:szCs w:val="22"/>
        </w:rPr>
        <w:t>the</w:t>
      </w:r>
      <w:r w:rsidRPr="00317C8E">
        <w:rPr>
          <w:rStyle w:val="Emphasis"/>
          <w:i w:val="0"/>
          <w:sz w:val="22"/>
          <w:szCs w:val="22"/>
        </w:rPr>
        <w:t xml:space="preserve"> benefits are</w:t>
      </w:r>
      <w:r w:rsidR="00B30E58" w:rsidRPr="00317C8E">
        <w:rPr>
          <w:rStyle w:val="Emphasis"/>
          <w:i w:val="0"/>
          <w:sz w:val="22"/>
          <w:szCs w:val="22"/>
        </w:rPr>
        <w:t xml:space="preserve"> expected</w:t>
      </w:r>
      <w:r w:rsidRPr="00317C8E">
        <w:rPr>
          <w:rStyle w:val="Emphasis"/>
          <w:i w:val="0"/>
          <w:sz w:val="22"/>
          <w:szCs w:val="22"/>
        </w:rPr>
        <w:t xml:space="preserve"> to be </w:t>
      </w:r>
      <w:r w:rsidR="00954F85" w:rsidRPr="00317C8E">
        <w:rPr>
          <w:rStyle w:val="Emphasis"/>
          <w:i w:val="0"/>
          <w:sz w:val="22"/>
          <w:szCs w:val="22"/>
        </w:rPr>
        <w:t>measured and reported</w:t>
      </w:r>
      <w:r w:rsidRPr="00317C8E">
        <w:rPr>
          <w:rStyle w:val="Emphasis"/>
          <w:i w:val="0"/>
          <w:sz w:val="22"/>
          <w:szCs w:val="22"/>
        </w:rPr>
        <w:t xml:space="preserve">. </w:t>
      </w:r>
      <w:r w:rsidR="00B419EA" w:rsidRPr="00317C8E">
        <w:rPr>
          <w:rStyle w:val="Emphasis"/>
          <w:i w:val="0"/>
          <w:sz w:val="22"/>
          <w:szCs w:val="22"/>
        </w:rPr>
        <w:t xml:space="preserve"> </w:t>
      </w:r>
      <w:r w:rsidR="001349F4" w:rsidRPr="00317C8E">
        <w:rPr>
          <w:rStyle w:val="Emphasis"/>
          <w:i w:val="0"/>
          <w:sz w:val="22"/>
          <w:szCs w:val="22"/>
        </w:rPr>
        <w:t>The benefit owners have agreed to be responsible for achieving the benefits</w:t>
      </w:r>
      <w:r w:rsidR="00C8560D" w:rsidRPr="00317C8E">
        <w:rPr>
          <w:rStyle w:val="Emphasis"/>
          <w:i w:val="0"/>
          <w:sz w:val="22"/>
          <w:szCs w:val="22"/>
        </w:rPr>
        <w:t>; th</w:t>
      </w:r>
      <w:r w:rsidR="00B419EA" w:rsidRPr="00317C8E">
        <w:rPr>
          <w:rStyle w:val="Emphasis"/>
          <w:i w:val="0"/>
          <w:sz w:val="22"/>
          <w:szCs w:val="22"/>
        </w:rPr>
        <w:t xml:space="preserve">is </w:t>
      </w:r>
      <w:r w:rsidR="00C8560D" w:rsidRPr="00317C8E">
        <w:rPr>
          <w:rStyle w:val="Emphasis"/>
          <w:i w:val="0"/>
          <w:sz w:val="22"/>
          <w:szCs w:val="22"/>
        </w:rPr>
        <w:t xml:space="preserve">agreement is recorded in the BRP.  </w:t>
      </w:r>
    </w:p>
    <w:p w14:paraId="106FC90A" w14:textId="3C161B31" w:rsidR="007B53C8" w:rsidRPr="00317C8E" w:rsidRDefault="007B53C8" w:rsidP="00122AD6">
      <w:pPr>
        <w:spacing w:line="260" w:lineRule="atLeast"/>
        <w:rPr>
          <w:rStyle w:val="Emphasis"/>
          <w:i w:val="0"/>
          <w:sz w:val="22"/>
          <w:szCs w:val="22"/>
        </w:rPr>
      </w:pPr>
      <w:r w:rsidRPr="00317C8E">
        <w:rPr>
          <w:rStyle w:val="Emphasis"/>
          <w:i w:val="0"/>
          <w:sz w:val="22"/>
          <w:szCs w:val="22"/>
        </w:rPr>
        <w:t xml:space="preserve">This is a living document; the current version (as at </w:t>
      </w:r>
      <w:proofErr w:type="spellStart"/>
      <w:r w:rsidRPr="00317C8E">
        <w:rPr>
          <w:rStyle w:val="Emphasis"/>
          <w:i w:val="0"/>
          <w:sz w:val="22"/>
          <w:szCs w:val="22"/>
          <w:highlight w:val="yellow"/>
        </w:rPr>
        <w:t>dd</w:t>
      </w:r>
      <w:proofErr w:type="spellEnd"/>
      <w:r w:rsidRPr="00317C8E">
        <w:rPr>
          <w:rStyle w:val="Emphasis"/>
          <w:i w:val="0"/>
          <w:sz w:val="22"/>
          <w:szCs w:val="22"/>
          <w:highlight w:val="yellow"/>
        </w:rPr>
        <w:t xml:space="preserve"> </w:t>
      </w:r>
      <w:proofErr w:type="spellStart"/>
      <w:r w:rsidRPr="00317C8E">
        <w:rPr>
          <w:rStyle w:val="Emphasis"/>
          <w:i w:val="0"/>
          <w:sz w:val="22"/>
          <w:szCs w:val="22"/>
          <w:highlight w:val="yellow"/>
        </w:rPr>
        <w:t>Mmm</w:t>
      </w:r>
      <w:proofErr w:type="spellEnd"/>
      <w:r w:rsidRPr="00317C8E">
        <w:rPr>
          <w:rStyle w:val="Emphasis"/>
          <w:i w:val="0"/>
          <w:sz w:val="22"/>
          <w:szCs w:val="22"/>
          <w:highlight w:val="yellow"/>
        </w:rPr>
        <w:t xml:space="preserve"> </w:t>
      </w:r>
      <w:r w:rsidR="0003530F" w:rsidRPr="00317C8E">
        <w:rPr>
          <w:rStyle w:val="Emphasis"/>
          <w:i w:val="0"/>
          <w:sz w:val="22"/>
          <w:szCs w:val="22"/>
          <w:highlight w:val="yellow"/>
        </w:rPr>
        <w:t>20YY</w:t>
      </w:r>
      <w:r w:rsidRPr="00317C8E">
        <w:rPr>
          <w:rStyle w:val="Emphasis"/>
          <w:i w:val="0"/>
          <w:sz w:val="22"/>
          <w:szCs w:val="22"/>
        </w:rPr>
        <w:t xml:space="preserve">) is </w:t>
      </w:r>
      <w:r w:rsidR="009C0616" w:rsidRPr="00317C8E">
        <w:rPr>
          <w:rStyle w:val="Emphasis"/>
          <w:i w:val="0"/>
          <w:sz w:val="22"/>
          <w:szCs w:val="22"/>
        </w:rPr>
        <w:t>attached as</w:t>
      </w:r>
      <w:hyperlink w:anchor="_Annex_3:_Benefits" w:history="1">
        <w:r w:rsidR="009C0616" w:rsidRPr="00317C8E">
          <w:rPr>
            <w:rStyle w:val="Hyperlink"/>
            <w:szCs w:val="22"/>
          </w:rPr>
          <w:t xml:space="preserve"> </w:t>
        </w:r>
        <w:hyperlink w:anchor="_Benefits_Realisation_Plan" w:history="1">
          <w:r w:rsidR="00B0578D" w:rsidRPr="00317C8E">
            <w:rPr>
              <w:rStyle w:val="Hyperlink"/>
              <w:szCs w:val="22"/>
            </w:rPr>
            <w:t>Annex 6</w:t>
          </w:r>
        </w:hyperlink>
      </w:hyperlink>
      <w:r w:rsidRPr="00317C8E">
        <w:rPr>
          <w:rStyle w:val="Emphasis"/>
          <w:i w:val="0"/>
          <w:sz w:val="22"/>
          <w:szCs w:val="22"/>
        </w:rPr>
        <w:t>.</w:t>
      </w:r>
    </w:p>
    <w:p w14:paraId="7FAA44B0" w14:textId="77777777" w:rsidR="00A205BE" w:rsidRPr="00D17BFC" w:rsidRDefault="00A205BE" w:rsidP="006E4FDB">
      <w:pPr>
        <w:pStyle w:val="Heading2"/>
      </w:pPr>
      <w:r>
        <w:t>Risk Management Arrangements</w:t>
      </w:r>
    </w:p>
    <w:p w14:paraId="421A218D" w14:textId="77777777" w:rsidR="00B917F8" w:rsidRDefault="00B917F8"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The Senior Responsible Owner</w:t>
      </w:r>
      <w:r w:rsidRPr="00A33D61">
        <w:rPr>
          <w:rStyle w:val="Emphasis"/>
        </w:rPr>
        <w:t xml:space="preserve"> is responsible for ensuring that arrangements for the management of risk</w:t>
      </w:r>
      <w:r>
        <w:rPr>
          <w:rStyle w:val="Emphasis"/>
        </w:rPr>
        <w:t xml:space="preserve">s </w:t>
      </w:r>
      <w:r w:rsidRPr="00A33D61">
        <w:rPr>
          <w:rStyle w:val="Emphasis"/>
        </w:rPr>
        <w:t>are in place</w:t>
      </w:r>
      <w:r w:rsidRPr="00A205BE">
        <w:rPr>
          <w:rStyle w:val="Emphasis"/>
        </w:rPr>
        <w:t>.</w:t>
      </w:r>
      <w:r>
        <w:rPr>
          <w:rStyle w:val="Emphasis"/>
        </w:rPr>
        <w:t xml:space="preserve"> </w:t>
      </w:r>
      <w:r w:rsidR="00B419EA">
        <w:rPr>
          <w:rStyle w:val="Emphasis"/>
        </w:rPr>
        <w:t xml:space="preserve"> </w:t>
      </w:r>
      <w:r>
        <w:rPr>
          <w:rStyle w:val="Emphasis"/>
        </w:rPr>
        <w:t xml:space="preserve">The risks must be regularly and frequently </w:t>
      </w:r>
      <w:r w:rsidRPr="00A33D61">
        <w:rPr>
          <w:rStyle w:val="Emphasis"/>
        </w:rPr>
        <w:t xml:space="preserve">reviewed </w:t>
      </w:r>
      <w:r>
        <w:rPr>
          <w:rStyle w:val="Emphasis"/>
        </w:rPr>
        <w:t xml:space="preserve">and the register </w:t>
      </w:r>
      <w:r w:rsidR="00751EC7">
        <w:rPr>
          <w:rStyle w:val="Emphasis"/>
        </w:rPr>
        <w:t xml:space="preserve">kept </w:t>
      </w:r>
      <w:r>
        <w:rPr>
          <w:rStyle w:val="Emphasis"/>
        </w:rPr>
        <w:t xml:space="preserve">updated </w:t>
      </w:r>
      <w:r w:rsidRPr="00A33D61">
        <w:rPr>
          <w:rStyle w:val="Emphasis"/>
        </w:rPr>
        <w:t>thr</w:t>
      </w:r>
      <w:r>
        <w:rPr>
          <w:rStyle w:val="Emphasis"/>
        </w:rPr>
        <w:t>oughout the course of the programme.</w:t>
      </w:r>
    </w:p>
    <w:p w14:paraId="7F8603BF" w14:textId="2AD7437C" w:rsidR="00B419EA" w:rsidRPr="00064751" w:rsidRDefault="00B419EA" w:rsidP="00122AD6">
      <w:pPr>
        <w:spacing w:line="260" w:lineRule="atLeast"/>
        <w:rPr>
          <w:rStyle w:val="Emphasis"/>
          <w:i w:val="0"/>
          <w:sz w:val="22"/>
          <w:szCs w:val="22"/>
        </w:rPr>
      </w:pPr>
      <w:r w:rsidRPr="00064751">
        <w:rPr>
          <w:rStyle w:val="Emphasis"/>
          <w:i w:val="0"/>
          <w:sz w:val="22"/>
          <w:szCs w:val="22"/>
        </w:rPr>
        <w:t>A</w:t>
      </w:r>
      <w:r w:rsidR="006E4227" w:rsidRPr="00064751">
        <w:rPr>
          <w:rStyle w:val="Emphasis"/>
          <w:i w:val="0"/>
          <w:sz w:val="22"/>
          <w:szCs w:val="22"/>
        </w:rPr>
        <w:t xml:space="preserve"> detailed Risk Register and </w:t>
      </w:r>
      <w:r w:rsidR="006A7630" w:rsidRPr="00064751">
        <w:rPr>
          <w:rStyle w:val="Emphasis"/>
          <w:i w:val="0"/>
          <w:sz w:val="22"/>
          <w:szCs w:val="22"/>
        </w:rPr>
        <w:t xml:space="preserve">Risk </w:t>
      </w:r>
      <w:r w:rsidRPr="00064751">
        <w:rPr>
          <w:rStyle w:val="Emphasis"/>
          <w:i w:val="0"/>
          <w:sz w:val="22"/>
          <w:szCs w:val="22"/>
        </w:rPr>
        <w:t>Management Plan ha</w:t>
      </w:r>
      <w:r w:rsidR="006A7630" w:rsidRPr="00064751">
        <w:rPr>
          <w:rStyle w:val="Emphasis"/>
          <w:i w:val="0"/>
          <w:sz w:val="22"/>
          <w:szCs w:val="22"/>
        </w:rPr>
        <w:t>ve</w:t>
      </w:r>
      <w:r w:rsidRPr="00064751">
        <w:rPr>
          <w:rStyle w:val="Emphasis"/>
          <w:i w:val="0"/>
          <w:sz w:val="22"/>
          <w:szCs w:val="22"/>
        </w:rPr>
        <w:t xml:space="preserve"> been developed including key roles and responsibilities, reporting lines, mitigation plans and escalation processes.  </w:t>
      </w:r>
    </w:p>
    <w:p w14:paraId="220FC884" w14:textId="31610B49" w:rsidR="006A7630" w:rsidRPr="00064751" w:rsidRDefault="00A205BE" w:rsidP="00122AD6">
      <w:pPr>
        <w:spacing w:line="260" w:lineRule="atLeast"/>
        <w:rPr>
          <w:rStyle w:val="Emphasis"/>
          <w:i w:val="0"/>
          <w:sz w:val="22"/>
          <w:szCs w:val="22"/>
        </w:rPr>
      </w:pPr>
      <w:r w:rsidRPr="00064751">
        <w:rPr>
          <w:rStyle w:val="Emphasis"/>
          <w:i w:val="0"/>
          <w:sz w:val="22"/>
          <w:szCs w:val="22"/>
        </w:rPr>
        <w:t xml:space="preserve">The </w:t>
      </w:r>
      <w:r w:rsidR="007E6969" w:rsidRPr="00064751">
        <w:rPr>
          <w:rStyle w:val="Emphasis"/>
          <w:i w:val="0"/>
          <w:sz w:val="22"/>
          <w:szCs w:val="22"/>
        </w:rPr>
        <w:t xml:space="preserve">Risk Register </w:t>
      </w:r>
      <w:r w:rsidRPr="00064751">
        <w:rPr>
          <w:rStyle w:val="Emphasis"/>
          <w:i w:val="0"/>
          <w:sz w:val="22"/>
          <w:szCs w:val="22"/>
        </w:rPr>
        <w:t>has been updated</w:t>
      </w:r>
      <w:r w:rsidR="00B419EA" w:rsidRPr="00064751">
        <w:rPr>
          <w:rStyle w:val="Emphasis"/>
          <w:i w:val="0"/>
          <w:sz w:val="22"/>
          <w:szCs w:val="22"/>
        </w:rPr>
        <w:t xml:space="preserve"> and is regularly and frequently reviewed.  T</w:t>
      </w:r>
      <w:r w:rsidR="007B53C8" w:rsidRPr="00064751">
        <w:rPr>
          <w:rStyle w:val="Emphasis"/>
          <w:i w:val="0"/>
          <w:sz w:val="22"/>
          <w:szCs w:val="22"/>
        </w:rPr>
        <w:t>he t</w:t>
      </w:r>
      <w:r w:rsidR="00B419EA" w:rsidRPr="00064751">
        <w:rPr>
          <w:rStyle w:val="Emphasis"/>
          <w:i w:val="0"/>
          <w:sz w:val="22"/>
          <w:szCs w:val="22"/>
        </w:rPr>
        <w:t xml:space="preserve">op </w:t>
      </w:r>
      <w:r w:rsidR="00B419EA" w:rsidRPr="00064751">
        <w:rPr>
          <w:rStyle w:val="Emphasis"/>
          <w:i w:val="0"/>
          <w:sz w:val="22"/>
          <w:szCs w:val="22"/>
          <w:highlight w:val="yellow"/>
        </w:rPr>
        <w:t>X</w:t>
      </w:r>
      <w:r w:rsidR="00B419EA" w:rsidRPr="00064751">
        <w:rPr>
          <w:rStyle w:val="Emphasis"/>
          <w:i w:val="0"/>
          <w:sz w:val="22"/>
          <w:szCs w:val="22"/>
        </w:rPr>
        <w:t xml:space="preserve"> risks are included in regular reporting and </w:t>
      </w:r>
      <w:r w:rsidR="007B53C8" w:rsidRPr="00064751">
        <w:rPr>
          <w:rStyle w:val="Emphasis"/>
          <w:i w:val="0"/>
          <w:sz w:val="22"/>
          <w:szCs w:val="22"/>
        </w:rPr>
        <w:t>Risk is a standing</w:t>
      </w:r>
      <w:r w:rsidR="00B419EA" w:rsidRPr="00064751">
        <w:rPr>
          <w:rStyle w:val="Emphasis"/>
          <w:i w:val="0"/>
          <w:sz w:val="22"/>
          <w:szCs w:val="22"/>
        </w:rPr>
        <w:t xml:space="preserve"> agenda item for governance meetings.</w:t>
      </w:r>
      <w:r w:rsidRPr="00064751">
        <w:rPr>
          <w:rStyle w:val="Emphasis"/>
          <w:i w:val="0"/>
          <w:sz w:val="22"/>
          <w:szCs w:val="22"/>
        </w:rPr>
        <w:t xml:space="preserve"> </w:t>
      </w:r>
      <w:r w:rsidR="00B419EA" w:rsidRPr="00064751">
        <w:rPr>
          <w:rStyle w:val="Emphasis"/>
          <w:i w:val="0"/>
          <w:sz w:val="22"/>
          <w:szCs w:val="22"/>
        </w:rPr>
        <w:t xml:space="preserve"> </w:t>
      </w:r>
      <w:r w:rsidR="006A7630" w:rsidRPr="00064751">
        <w:rPr>
          <w:rStyle w:val="Emphasis"/>
          <w:i w:val="0"/>
          <w:sz w:val="22"/>
          <w:szCs w:val="22"/>
        </w:rPr>
        <w:t xml:space="preserve">The current top </w:t>
      </w:r>
      <w:r w:rsidR="006A7630" w:rsidRPr="00064751">
        <w:rPr>
          <w:rStyle w:val="Emphasis"/>
          <w:i w:val="0"/>
          <w:sz w:val="22"/>
          <w:szCs w:val="22"/>
          <w:highlight w:val="yellow"/>
        </w:rPr>
        <w:t>20</w:t>
      </w:r>
      <w:r w:rsidR="006A7630" w:rsidRPr="00064751">
        <w:rPr>
          <w:rStyle w:val="Emphasis"/>
          <w:i w:val="0"/>
          <w:sz w:val="22"/>
          <w:szCs w:val="22"/>
        </w:rPr>
        <w:t xml:space="preserve"> </w:t>
      </w:r>
      <w:r w:rsidR="00681F58" w:rsidRPr="00064751">
        <w:rPr>
          <w:rStyle w:val="Emphasis"/>
          <w:i w:val="0"/>
          <w:sz w:val="22"/>
          <w:szCs w:val="22"/>
        </w:rPr>
        <w:t xml:space="preserve">project implementation </w:t>
      </w:r>
      <w:r w:rsidR="006A7630" w:rsidRPr="00064751">
        <w:rPr>
          <w:rStyle w:val="Emphasis"/>
          <w:i w:val="0"/>
          <w:sz w:val="22"/>
          <w:szCs w:val="22"/>
        </w:rPr>
        <w:t xml:space="preserve">risks are summarised in </w:t>
      </w:r>
      <w:hyperlink w:anchor="_Annex_6:_Top" w:history="1">
        <w:r w:rsidR="00B0578D" w:rsidRPr="00064751">
          <w:rPr>
            <w:rStyle w:val="Hyperlink"/>
            <w:szCs w:val="22"/>
          </w:rPr>
          <w:t>Annex 7</w:t>
        </w:r>
      </w:hyperlink>
      <w:r w:rsidR="006A7630" w:rsidRPr="00064751">
        <w:rPr>
          <w:rStyle w:val="Emphasis"/>
          <w:i w:val="0"/>
          <w:sz w:val="22"/>
          <w:szCs w:val="22"/>
        </w:rPr>
        <w:t>.</w:t>
      </w:r>
    </w:p>
    <w:p w14:paraId="7500A887" w14:textId="371DF16E" w:rsidR="007E6969" w:rsidRPr="00064751" w:rsidRDefault="006A7630" w:rsidP="00122AD6">
      <w:pPr>
        <w:spacing w:line="260" w:lineRule="atLeast"/>
        <w:rPr>
          <w:rStyle w:val="Emphasis"/>
          <w:i w:val="0"/>
          <w:sz w:val="22"/>
          <w:szCs w:val="22"/>
        </w:rPr>
      </w:pPr>
      <w:r w:rsidRPr="00064751">
        <w:rPr>
          <w:rStyle w:val="Emphasis"/>
          <w:i w:val="0"/>
          <w:sz w:val="22"/>
          <w:szCs w:val="22"/>
        </w:rPr>
        <w:t xml:space="preserve">The Risk Register is </w:t>
      </w:r>
      <w:r w:rsidR="006E7545" w:rsidRPr="00064751">
        <w:rPr>
          <w:rStyle w:val="Emphasis"/>
          <w:i w:val="0"/>
          <w:sz w:val="22"/>
          <w:szCs w:val="22"/>
        </w:rPr>
        <w:t xml:space="preserve">a living document; the current version (as at </w:t>
      </w:r>
      <w:proofErr w:type="spellStart"/>
      <w:r w:rsidR="006E7545" w:rsidRPr="00064751">
        <w:rPr>
          <w:rStyle w:val="Emphasis"/>
          <w:i w:val="0"/>
          <w:sz w:val="22"/>
          <w:szCs w:val="22"/>
          <w:highlight w:val="yellow"/>
        </w:rPr>
        <w:t>dd</w:t>
      </w:r>
      <w:proofErr w:type="spellEnd"/>
      <w:r w:rsidR="006E7545" w:rsidRPr="00064751">
        <w:rPr>
          <w:rStyle w:val="Emphasis"/>
          <w:i w:val="0"/>
          <w:sz w:val="22"/>
          <w:szCs w:val="22"/>
          <w:highlight w:val="yellow"/>
        </w:rPr>
        <w:t xml:space="preserve"> </w:t>
      </w:r>
      <w:proofErr w:type="spellStart"/>
      <w:r w:rsidR="006E7545" w:rsidRPr="00064751">
        <w:rPr>
          <w:rStyle w:val="Emphasis"/>
          <w:i w:val="0"/>
          <w:sz w:val="22"/>
          <w:szCs w:val="22"/>
          <w:highlight w:val="yellow"/>
        </w:rPr>
        <w:t>Mmm</w:t>
      </w:r>
      <w:proofErr w:type="spellEnd"/>
      <w:r w:rsidR="006E7545" w:rsidRPr="00064751">
        <w:rPr>
          <w:rStyle w:val="Emphasis"/>
          <w:i w:val="0"/>
          <w:sz w:val="22"/>
          <w:szCs w:val="22"/>
          <w:highlight w:val="yellow"/>
        </w:rPr>
        <w:t xml:space="preserve"> </w:t>
      </w:r>
      <w:r w:rsidR="0003530F" w:rsidRPr="00064751">
        <w:rPr>
          <w:rStyle w:val="Emphasis"/>
          <w:i w:val="0"/>
          <w:sz w:val="22"/>
          <w:szCs w:val="22"/>
          <w:highlight w:val="yellow"/>
        </w:rPr>
        <w:t>20YY</w:t>
      </w:r>
      <w:r w:rsidR="006E7545" w:rsidRPr="00064751">
        <w:rPr>
          <w:rStyle w:val="Emphasis"/>
          <w:i w:val="0"/>
          <w:sz w:val="22"/>
          <w:szCs w:val="22"/>
        </w:rPr>
        <w:t xml:space="preserve">) is listed in </w:t>
      </w:r>
      <w:hyperlink w:anchor="_Annex_2:_" w:history="1">
        <w:r w:rsidR="006E7545" w:rsidRPr="00064751">
          <w:rPr>
            <w:rStyle w:val="Hyperlink"/>
            <w:szCs w:val="22"/>
          </w:rPr>
          <w:t>Annex 2</w:t>
        </w:r>
      </w:hyperlink>
      <w:r w:rsidR="006E7545" w:rsidRPr="00064751">
        <w:rPr>
          <w:rStyle w:val="Emphasis"/>
          <w:i w:val="0"/>
          <w:sz w:val="22"/>
          <w:szCs w:val="22"/>
        </w:rPr>
        <w:t xml:space="preserve"> and is available on request.</w:t>
      </w:r>
    </w:p>
    <w:p w14:paraId="354E3349" w14:textId="77777777" w:rsidR="00B419EA" w:rsidRDefault="00B419EA" w:rsidP="00414BEF">
      <w:pPr>
        <w:pStyle w:val="TableHeading1"/>
        <w:spacing w:after="60" w:line="240" w:lineRule="auto"/>
        <w:rPr>
          <w:rStyle w:val="Emphasis"/>
          <w:b w:val="0"/>
          <w:i w:val="0"/>
        </w:rPr>
      </w:pPr>
      <w:r w:rsidRPr="006C4F9E">
        <w:rPr>
          <w:rStyle w:val="Emphasis"/>
          <w:i w:val="0"/>
        </w:rPr>
        <w:lastRenderedPageBreak/>
        <w:t xml:space="preserve">Table </w:t>
      </w:r>
      <w:r w:rsidRPr="006C4F9E">
        <w:rPr>
          <w:rStyle w:val="Emphasis"/>
          <w:i w:val="0"/>
          <w:highlight w:val="yellow"/>
        </w:rPr>
        <w:t>x</w:t>
      </w:r>
      <w:r w:rsidRPr="006C4F9E">
        <w:rPr>
          <w:rStyle w:val="Emphasis"/>
          <w:i w:val="0"/>
        </w:rPr>
        <w:t xml:space="preserve">: </w:t>
      </w:r>
      <w:r>
        <w:rPr>
          <w:rStyle w:val="Emphasis"/>
          <w:b w:val="0"/>
          <w:i w:val="0"/>
        </w:rPr>
        <w:t xml:space="preserve">Top </w:t>
      </w:r>
      <w:r w:rsidRPr="00B419EA">
        <w:rPr>
          <w:rStyle w:val="Emphasis"/>
          <w:b w:val="0"/>
          <w:i w:val="0"/>
          <w:highlight w:val="yellow"/>
        </w:rPr>
        <w:t>5/10</w:t>
      </w:r>
      <w:r>
        <w:rPr>
          <w:rStyle w:val="Emphasis"/>
          <w:b w:val="0"/>
          <w:i w:val="0"/>
        </w:rPr>
        <w:t xml:space="preserve"> current risks</w:t>
      </w:r>
    </w:p>
    <w:tbl>
      <w:tblPr>
        <w:tblW w:w="9356"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left w:w="28" w:type="dxa"/>
          <w:right w:w="28" w:type="dxa"/>
        </w:tblCellMar>
        <w:tblLook w:val="04A0" w:firstRow="1" w:lastRow="0" w:firstColumn="1" w:lastColumn="0" w:noHBand="0" w:noVBand="1"/>
      </w:tblPr>
      <w:tblGrid>
        <w:gridCol w:w="422"/>
        <w:gridCol w:w="4588"/>
        <w:gridCol w:w="772"/>
        <w:gridCol w:w="771"/>
        <w:gridCol w:w="2803"/>
      </w:tblGrid>
      <w:tr w:rsidR="00B419EA" w:rsidRPr="004C1278" w14:paraId="435E6E50" w14:textId="77777777" w:rsidTr="00064751">
        <w:tc>
          <w:tcPr>
            <w:tcW w:w="422" w:type="dxa"/>
            <w:shd w:val="clear" w:color="auto" w:fill="CCD3E1"/>
          </w:tcPr>
          <w:p w14:paraId="14125542" w14:textId="77777777" w:rsidR="00B419EA" w:rsidRDefault="00B419EA" w:rsidP="00122AD6">
            <w:pPr>
              <w:pStyle w:val="TableHeading"/>
              <w:keepNext/>
              <w:spacing w:before="40" w:after="40"/>
            </w:pPr>
          </w:p>
        </w:tc>
        <w:tc>
          <w:tcPr>
            <w:tcW w:w="4588" w:type="dxa"/>
            <w:shd w:val="clear" w:color="auto" w:fill="CCD3E1"/>
            <w:vAlign w:val="center"/>
          </w:tcPr>
          <w:p w14:paraId="1E5D815F" w14:textId="77777777" w:rsidR="00B419EA" w:rsidRPr="009911C3" w:rsidRDefault="00B419EA" w:rsidP="00122AD6">
            <w:pPr>
              <w:pStyle w:val="TableHeading"/>
              <w:keepNext/>
              <w:spacing w:before="40" w:after="40"/>
            </w:pPr>
            <w:r>
              <w:t>Key project risks</w:t>
            </w:r>
          </w:p>
        </w:tc>
        <w:tc>
          <w:tcPr>
            <w:tcW w:w="772" w:type="dxa"/>
            <w:shd w:val="clear" w:color="auto" w:fill="CCD3E1"/>
            <w:vAlign w:val="center"/>
          </w:tcPr>
          <w:p w14:paraId="0438DC6D" w14:textId="77777777" w:rsidR="00B419EA" w:rsidRPr="009911C3" w:rsidRDefault="00B419EA" w:rsidP="00122AD6">
            <w:pPr>
              <w:pStyle w:val="TableHeading"/>
              <w:keepNext/>
              <w:spacing w:before="40" w:after="40"/>
              <w:jc w:val="center"/>
            </w:pPr>
            <w:r>
              <w:t>Prob.</w:t>
            </w:r>
            <w:r>
              <w:br/>
            </w:r>
            <w:r w:rsidRPr="000C4D8A">
              <w:rPr>
                <w:b w:val="0"/>
              </w:rPr>
              <w:t>(H,M,L)</w:t>
            </w:r>
          </w:p>
        </w:tc>
        <w:tc>
          <w:tcPr>
            <w:tcW w:w="771" w:type="dxa"/>
            <w:shd w:val="clear" w:color="auto" w:fill="CCD3E1"/>
            <w:vAlign w:val="center"/>
          </w:tcPr>
          <w:p w14:paraId="146CFCF2" w14:textId="77777777" w:rsidR="00B419EA" w:rsidRPr="009911C3" w:rsidRDefault="00B419EA" w:rsidP="00122AD6">
            <w:pPr>
              <w:pStyle w:val="TableHeading"/>
              <w:keepNext/>
              <w:spacing w:before="40" w:after="40"/>
              <w:jc w:val="center"/>
            </w:pPr>
            <w:r>
              <w:t xml:space="preserve">Impact </w:t>
            </w:r>
            <w:r w:rsidRPr="000C4D8A">
              <w:rPr>
                <w:b w:val="0"/>
              </w:rPr>
              <w:t>(H,M,L)</w:t>
            </w:r>
          </w:p>
        </w:tc>
        <w:tc>
          <w:tcPr>
            <w:tcW w:w="2803" w:type="dxa"/>
            <w:shd w:val="clear" w:color="auto" w:fill="CCD3E1"/>
            <w:vAlign w:val="center"/>
          </w:tcPr>
          <w:p w14:paraId="34307DFF" w14:textId="77777777" w:rsidR="00B419EA" w:rsidRDefault="00B419EA" w:rsidP="00122AD6">
            <w:pPr>
              <w:pStyle w:val="TableHeading"/>
              <w:keepNext/>
              <w:spacing w:before="40" w:after="40"/>
            </w:pPr>
            <w:r>
              <w:t xml:space="preserve"> Mitigation comments </w:t>
            </w:r>
          </w:p>
        </w:tc>
      </w:tr>
      <w:tr w:rsidR="00B419EA" w:rsidRPr="00CC1667" w14:paraId="340E2E26" w14:textId="77777777" w:rsidTr="00064751">
        <w:tc>
          <w:tcPr>
            <w:tcW w:w="422" w:type="dxa"/>
          </w:tcPr>
          <w:p w14:paraId="18BAC244" w14:textId="77777777" w:rsidR="00B419EA" w:rsidRPr="009911C3" w:rsidRDefault="00B419EA" w:rsidP="00211397">
            <w:pPr>
              <w:pStyle w:val="TableText"/>
              <w:spacing w:before="40" w:after="40"/>
              <w:jc w:val="center"/>
            </w:pPr>
            <w:r>
              <w:t>1</w:t>
            </w:r>
          </w:p>
        </w:tc>
        <w:tc>
          <w:tcPr>
            <w:tcW w:w="4588" w:type="dxa"/>
          </w:tcPr>
          <w:p w14:paraId="4FBB5DF4" w14:textId="77777777" w:rsidR="00B419EA" w:rsidRPr="009911C3" w:rsidRDefault="00B419EA" w:rsidP="00122AD6">
            <w:pPr>
              <w:pStyle w:val="TableText"/>
              <w:spacing w:before="40" w:after="40"/>
            </w:pPr>
          </w:p>
        </w:tc>
        <w:tc>
          <w:tcPr>
            <w:tcW w:w="772" w:type="dxa"/>
          </w:tcPr>
          <w:p w14:paraId="62103CC5" w14:textId="77777777" w:rsidR="00B419EA" w:rsidRPr="00FB7317" w:rsidRDefault="00B419EA" w:rsidP="00122AD6">
            <w:pPr>
              <w:spacing w:before="40" w:after="40" w:line="240" w:lineRule="atLeast"/>
              <w:rPr>
                <w:sz w:val="20"/>
              </w:rPr>
            </w:pPr>
          </w:p>
        </w:tc>
        <w:tc>
          <w:tcPr>
            <w:tcW w:w="771" w:type="dxa"/>
          </w:tcPr>
          <w:p w14:paraId="23F83752" w14:textId="77777777" w:rsidR="00B419EA" w:rsidRPr="009911C3" w:rsidRDefault="00B419EA" w:rsidP="00122AD6">
            <w:pPr>
              <w:spacing w:before="40" w:after="40" w:line="240" w:lineRule="atLeast"/>
              <w:rPr>
                <w:sz w:val="20"/>
              </w:rPr>
            </w:pPr>
          </w:p>
        </w:tc>
        <w:tc>
          <w:tcPr>
            <w:tcW w:w="2803" w:type="dxa"/>
          </w:tcPr>
          <w:p w14:paraId="046F11E5" w14:textId="77777777" w:rsidR="00B419EA" w:rsidRPr="009911C3" w:rsidRDefault="00B419EA" w:rsidP="00122AD6">
            <w:pPr>
              <w:spacing w:before="40" w:after="40" w:line="240" w:lineRule="atLeast"/>
              <w:rPr>
                <w:sz w:val="20"/>
              </w:rPr>
            </w:pPr>
          </w:p>
        </w:tc>
      </w:tr>
      <w:tr w:rsidR="00B419EA" w:rsidRPr="00CC1667" w14:paraId="42988AAF" w14:textId="77777777" w:rsidTr="00064751">
        <w:tc>
          <w:tcPr>
            <w:tcW w:w="422" w:type="dxa"/>
          </w:tcPr>
          <w:p w14:paraId="1F0D24E0" w14:textId="77777777" w:rsidR="00B419EA" w:rsidRPr="009911C3" w:rsidRDefault="00B419EA" w:rsidP="00211397">
            <w:pPr>
              <w:pStyle w:val="TableText"/>
              <w:spacing w:before="40" w:after="40"/>
              <w:jc w:val="center"/>
            </w:pPr>
            <w:r>
              <w:t>2</w:t>
            </w:r>
          </w:p>
        </w:tc>
        <w:tc>
          <w:tcPr>
            <w:tcW w:w="4588" w:type="dxa"/>
          </w:tcPr>
          <w:p w14:paraId="564C5A46" w14:textId="77777777" w:rsidR="00B419EA" w:rsidRPr="009911C3" w:rsidRDefault="00B419EA" w:rsidP="00122AD6">
            <w:pPr>
              <w:pStyle w:val="TableText"/>
              <w:spacing w:before="40" w:after="40"/>
            </w:pPr>
          </w:p>
        </w:tc>
        <w:tc>
          <w:tcPr>
            <w:tcW w:w="772" w:type="dxa"/>
          </w:tcPr>
          <w:p w14:paraId="4A301269" w14:textId="77777777" w:rsidR="00B419EA" w:rsidRPr="00FB7317" w:rsidRDefault="00B419EA" w:rsidP="00122AD6">
            <w:pPr>
              <w:spacing w:before="40" w:after="40" w:line="240" w:lineRule="atLeast"/>
              <w:rPr>
                <w:sz w:val="20"/>
              </w:rPr>
            </w:pPr>
          </w:p>
        </w:tc>
        <w:tc>
          <w:tcPr>
            <w:tcW w:w="771" w:type="dxa"/>
          </w:tcPr>
          <w:p w14:paraId="313F1DF6" w14:textId="77777777" w:rsidR="00B419EA" w:rsidRPr="009911C3" w:rsidRDefault="00B419EA" w:rsidP="00122AD6">
            <w:pPr>
              <w:spacing w:before="40" w:after="40" w:line="240" w:lineRule="atLeast"/>
              <w:rPr>
                <w:sz w:val="20"/>
              </w:rPr>
            </w:pPr>
          </w:p>
        </w:tc>
        <w:tc>
          <w:tcPr>
            <w:tcW w:w="2803" w:type="dxa"/>
          </w:tcPr>
          <w:p w14:paraId="5D6D3BB6" w14:textId="77777777" w:rsidR="00B419EA" w:rsidRPr="009911C3" w:rsidRDefault="00B419EA" w:rsidP="00122AD6">
            <w:pPr>
              <w:spacing w:before="40" w:after="40" w:line="240" w:lineRule="atLeast"/>
              <w:rPr>
                <w:sz w:val="20"/>
              </w:rPr>
            </w:pPr>
          </w:p>
        </w:tc>
      </w:tr>
      <w:tr w:rsidR="00B419EA" w:rsidRPr="00CC1667" w14:paraId="3A8A455E" w14:textId="77777777" w:rsidTr="00064751">
        <w:tc>
          <w:tcPr>
            <w:tcW w:w="422" w:type="dxa"/>
          </w:tcPr>
          <w:p w14:paraId="710D460B" w14:textId="77777777" w:rsidR="00B419EA" w:rsidRPr="009911C3" w:rsidRDefault="00B419EA" w:rsidP="00211397">
            <w:pPr>
              <w:pStyle w:val="TableText"/>
              <w:spacing w:before="40" w:after="40"/>
              <w:jc w:val="center"/>
            </w:pPr>
            <w:r>
              <w:t>3</w:t>
            </w:r>
          </w:p>
        </w:tc>
        <w:tc>
          <w:tcPr>
            <w:tcW w:w="4588" w:type="dxa"/>
          </w:tcPr>
          <w:p w14:paraId="25451879" w14:textId="77777777" w:rsidR="00B419EA" w:rsidRPr="009911C3" w:rsidRDefault="00B419EA" w:rsidP="00122AD6">
            <w:pPr>
              <w:pStyle w:val="TableText"/>
              <w:spacing w:before="40" w:after="40"/>
            </w:pPr>
          </w:p>
        </w:tc>
        <w:tc>
          <w:tcPr>
            <w:tcW w:w="772" w:type="dxa"/>
          </w:tcPr>
          <w:p w14:paraId="66C892D3" w14:textId="77777777" w:rsidR="00B419EA" w:rsidRPr="00FB7317" w:rsidRDefault="00B419EA" w:rsidP="00122AD6">
            <w:pPr>
              <w:spacing w:before="40" w:after="40" w:line="240" w:lineRule="atLeast"/>
              <w:rPr>
                <w:sz w:val="20"/>
              </w:rPr>
            </w:pPr>
          </w:p>
        </w:tc>
        <w:tc>
          <w:tcPr>
            <w:tcW w:w="771" w:type="dxa"/>
          </w:tcPr>
          <w:p w14:paraId="37B5A3AF" w14:textId="77777777" w:rsidR="00B419EA" w:rsidRPr="009911C3" w:rsidRDefault="00B419EA" w:rsidP="00122AD6">
            <w:pPr>
              <w:spacing w:before="40" w:after="40" w:line="240" w:lineRule="atLeast"/>
              <w:rPr>
                <w:sz w:val="20"/>
              </w:rPr>
            </w:pPr>
          </w:p>
        </w:tc>
        <w:tc>
          <w:tcPr>
            <w:tcW w:w="2803" w:type="dxa"/>
          </w:tcPr>
          <w:p w14:paraId="4E555427" w14:textId="77777777" w:rsidR="00B419EA" w:rsidRPr="009911C3" w:rsidRDefault="00B419EA" w:rsidP="00122AD6">
            <w:pPr>
              <w:spacing w:before="40" w:after="40" w:line="240" w:lineRule="atLeast"/>
              <w:rPr>
                <w:sz w:val="20"/>
              </w:rPr>
            </w:pPr>
          </w:p>
        </w:tc>
      </w:tr>
    </w:tbl>
    <w:p w14:paraId="659401E2" w14:textId="5A13D252" w:rsidR="00A205BE" w:rsidRPr="00064751" w:rsidRDefault="006E7545" w:rsidP="00122AD6">
      <w:pPr>
        <w:spacing w:before="120" w:line="260" w:lineRule="atLeast"/>
        <w:rPr>
          <w:rStyle w:val="Emphasis"/>
          <w:i w:val="0"/>
          <w:sz w:val="22"/>
          <w:szCs w:val="22"/>
        </w:rPr>
      </w:pPr>
      <w:r w:rsidRPr="00064751">
        <w:rPr>
          <w:rStyle w:val="Emphasis"/>
          <w:i w:val="0"/>
          <w:sz w:val="22"/>
          <w:szCs w:val="22"/>
        </w:rPr>
        <w:t xml:space="preserve">Mitigation and </w:t>
      </w:r>
      <w:r w:rsidR="00A205BE" w:rsidRPr="00064751">
        <w:rPr>
          <w:rStyle w:val="Emphasis"/>
          <w:i w:val="0"/>
          <w:sz w:val="22"/>
          <w:szCs w:val="22"/>
        </w:rPr>
        <w:t>Contingency plans</w:t>
      </w:r>
      <w:r w:rsidR="006A7630" w:rsidRPr="00064751">
        <w:rPr>
          <w:rStyle w:val="Emphasis"/>
          <w:i w:val="0"/>
          <w:sz w:val="22"/>
          <w:szCs w:val="22"/>
        </w:rPr>
        <w:t xml:space="preserve"> </w:t>
      </w:r>
      <w:r w:rsidR="00B419EA" w:rsidRPr="00064751">
        <w:rPr>
          <w:rStyle w:val="Emphasis"/>
          <w:i w:val="0"/>
          <w:sz w:val="22"/>
          <w:szCs w:val="22"/>
        </w:rPr>
        <w:t xml:space="preserve">are </w:t>
      </w:r>
      <w:r w:rsidR="006E4227" w:rsidRPr="00064751">
        <w:rPr>
          <w:rStyle w:val="Emphasis"/>
          <w:i w:val="0"/>
          <w:sz w:val="22"/>
          <w:szCs w:val="22"/>
        </w:rPr>
        <w:t xml:space="preserve">included in the </w:t>
      </w:r>
      <w:r w:rsidR="006E4227" w:rsidRPr="00064751">
        <w:rPr>
          <w:rStyle w:val="Emphasis"/>
          <w:i w:val="0"/>
          <w:sz w:val="22"/>
          <w:szCs w:val="22"/>
          <w:highlight w:val="yellow"/>
        </w:rPr>
        <w:t>Risk Register /</w:t>
      </w:r>
      <w:r w:rsidR="00B419EA" w:rsidRPr="00064751">
        <w:rPr>
          <w:rStyle w:val="Emphasis"/>
          <w:i w:val="0"/>
          <w:sz w:val="22"/>
          <w:szCs w:val="22"/>
          <w:highlight w:val="yellow"/>
        </w:rPr>
        <w:t xml:space="preserve"> Contingency plan as part of Contract Management documentation</w:t>
      </w:r>
      <w:r w:rsidR="00A205BE" w:rsidRPr="00064751">
        <w:rPr>
          <w:rStyle w:val="Emphasis"/>
          <w:i w:val="0"/>
          <w:sz w:val="22"/>
          <w:szCs w:val="22"/>
        </w:rPr>
        <w:t>.</w:t>
      </w:r>
    </w:p>
    <w:p w14:paraId="460D6C42" w14:textId="77777777" w:rsidR="006E4227" w:rsidRPr="00D17BFC" w:rsidRDefault="006E4227" w:rsidP="006E4FDB">
      <w:pPr>
        <w:pStyle w:val="Heading2"/>
      </w:pPr>
      <w:r>
        <w:t xml:space="preserve">Contract and Service </w:t>
      </w:r>
      <w:r w:rsidRPr="007B53C8">
        <w:t>Management</w:t>
      </w:r>
      <w:r>
        <w:t xml:space="preserve"> Arrangements</w:t>
      </w:r>
    </w:p>
    <w:p w14:paraId="0BFEF76C" w14:textId="1AC95B0C" w:rsidR="006E4227" w:rsidRDefault="006E4227"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The contracts related to this project/tranche may be to support delivery of the project and/or for supply of ongoing services. </w:t>
      </w:r>
    </w:p>
    <w:p w14:paraId="4F669CBC" w14:textId="77777777" w:rsidR="006E4227" w:rsidRDefault="006E4227"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The Senior Responsible Owner</w:t>
      </w:r>
      <w:r w:rsidRPr="00A33D61">
        <w:rPr>
          <w:rStyle w:val="Emphasis"/>
        </w:rPr>
        <w:t xml:space="preserve"> is </w:t>
      </w:r>
      <w:r>
        <w:rPr>
          <w:rStyle w:val="Emphasis"/>
        </w:rPr>
        <w:t xml:space="preserve">ultimately </w:t>
      </w:r>
      <w:r w:rsidRPr="00A33D61">
        <w:rPr>
          <w:rStyle w:val="Emphasis"/>
        </w:rPr>
        <w:t>responsible for manag</w:t>
      </w:r>
      <w:r>
        <w:rPr>
          <w:rStyle w:val="Emphasis"/>
        </w:rPr>
        <w:t>ing contracts</w:t>
      </w:r>
      <w:r w:rsidRPr="00A33D61">
        <w:rPr>
          <w:rStyle w:val="Emphasis"/>
        </w:rPr>
        <w:t xml:space="preserve"> </w:t>
      </w:r>
      <w:r>
        <w:rPr>
          <w:rStyle w:val="Emphasis"/>
        </w:rPr>
        <w:t>for the project; for a major project a Contract Manager (or more than one) is recommended; other service delivery managers may be responsible for ongoing contracts</w:t>
      </w:r>
      <w:r w:rsidRPr="00A205BE">
        <w:rPr>
          <w:rStyle w:val="Emphasis"/>
        </w:rPr>
        <w:t>.</w:t>
      </w:r>
      <w:r>
        <w:rPr>
          <w:rStyle w:val="Emphasis"/>
        </w:rPr>
        <w:t xml:space="preserve">  Summarise how all key contracts and supplier performance will be managed.</w:t>
      </w:r>
    </w:p>
    <w:p w14:paraId="2E97C279" w14:textId="77777777" w:rsidR="006E4227" w:rsidRPr="00064751" w:rsidRDefault="006E4227" w:rsidP="00064751">
      <w:pPr>
        <w:spacing w:line="260" w:lineRule="atLeast"/>
        <w:rPr>
          <w:rStyle w:val="Emphasis"/>
          <w:i w:val="0"/>
          <w:sz w:val="22"/>
          <w:szCs w:val="22"/>
        </w:rPr>
      </w:pPr>
      <w:r w:rsidRPr="00064751">
        <w:rPr>
          <w:rStyle w:val="Emphasis"/>
          <w:i w:val="0"/>
          <w:sz w:val="22"/>
          <w:szCs w:val="22"/>
        </w:rPr>
        <w:t>A Contract Manager (</w:t>
      </w:r>
      <w:r w:rsidRPr="00064751">
        <w:rPr>
          <w:rStyle w:val="Emphasis"/>
          <w:i w:val="0"/>
          <w:sz w:val="22"/>
          <w:szCs w:val="22"/>
          <w:highlight w:val="yellow"/>
        </w:rPr>
        <w:t>………</w:t>
      </w:r>
      <w:r w:rsidRPr="00064751">
        <w:rPr>
          <w:rStyle w:val="Emphasis"/>
          <w:i w:val="0"/>
          <w:sz w:val="22"/>
          <w:szCs w:val="22"/>
        </w:rPr>
        <w:t xml:space="preserve">) has been appointed to manage the relationship with the preferred supplier over the term of the contract </w:t>
      </w:r>
      <w:r w:rsidRPr="00064751">
        <w:rPr>
          <w:rStyle w:val="Emphasis"/>
          <w:i w:val="0"/>
          <w:sz w:val="22"/>
          <w:szCs w:val="22"/>
          <w:highlight w:val="yellow"/>
        </w:rPr>
        <w:t>……</w:t>
      </w:r>
      <w:r w:rsidRPr="00064751">
        <w:rPr>
          <w:rStyle w:val="Emphasis"/>
          <w:i w:val="0"/>
          <w:sz w:val="22"/>
          <w:szCs w:val="22"/>
        </w:rPr>
        <w:t xml:space="preserve"> Areas of responsibility include: </w:t>
      </w:r>
    </w:p>
    <w:p w14:paraId="0F0C5E32" w14:textId="1DDE3908" w:rsidR="006E4227" w:rsidRPr="00064751" w:rsidRDefault="006E4227" w:rsidP="00064751">
      <w:pPr>
        <w:numPr>
          <w:ilvl w:val="0"/>
          <w:numId w:val="20"/>
        </w:numPr>
        <w:spacing w:line="260" w:lineRule="atLeast"/>
        <w:ind w:left="425" w:hanging="425"/>
        <w:rPr>
          <w:rStyle w:val="Emphasis"/>
          <w:i w:val="0"/>
          <w:sz w:val="22"/>
          <w:szCs w:val="22"/>
        </w:rPr>
      </w:pPr>
      <w:r w:rsidRPr="00064751">
        <w:rPr>
          <w:rStyle w:val="Emphasis"/>
          <w:i w:val="0"/>
          <w:sz w:val="22"/>
          <w:szCs w:val="22"/>
        </w:rPr>
        <w:t xml:space="preserve">Service Delivery Management – ensuring the </w:t>
      </w:r>
      <w:r w:rsidR="00B0578D" w:rsidRPr="00064751">
        <w:rPr>
          <w:rStyle w:val="Emphasis"/>
          <w:i w:val="0"/>
          <w:sz w:val="22"/>
          <w:szCs w:val="22"/>
        </w:rPr>
        <w:t xml:space="preserve">contracted </w:t>
      </w:r>
      <w:r w:rsidRPr="00064751">
        <w:rPr>
          <w:rStyle w:val="Emphasis"/>
          <w:i w:val="0"/>
          <w:sz w:val="22"/>
          <w:szCs w:val="22"/>
        </w:rPr>
        <w:t>services are being delivered to the agreed level of performance</w:t>
      </w:r>
    </w:p>
    <w:p w14:paraId="68866D84" w14:textId="77777777" w:rsidR="006E4227" w:rsidRPr="00064751" w:rsidRDefault="006E4227" w:rsidP="00064751">
      <w:pPr>
        <w:numPr>
          <w:ilvl w:val="0"/>
          <w:numId w:val="20"/>
        </w:numPr>
        <w:spacing w:line="260" w:lineRule="atLeast"/>
        <w:ind w:left="425" w:hanging="425"/>
        <w:rPr>
          <w:rStyle w:val="Emphasis"/>
          <w:i w:val="0"/>
          <w:sz w:val="22"/>
          <w:szCs w:val="22"/>
        </w:rPr>
      </w:pPr>
      <w:r w:rsidRPr="00064751">
        <w:rPr>
          <w:rStyle w:val="Emphasis"/>
          <w:i w:val="0"/>
          <w:sz w:val="22"/>
          <w:szCs w:val="22"/>
        </w:rPr>
        <w:t>Relationship Management – a partnership type arrangement where open communication will contribute to successful outcomes for both parties</w:t>
      </w:r>
    </w:p>
    <w:p w14:paraId="08245A7E" w14:textId="77777777" w:rsidR="006E4227" w:rsidRPr="00064751" w:rsidRDefault="006E4227" w:rsidP="00064751">
      <w:pPr>
        <w:numPr>
          <w:ilvl w:val="0"/>
          <w:numId w:val="20"/>
        </w:numPr>
        <w:spacing w:line="260" w:lineRule="atLeast"/>
        <w:ind w:left="425" w:hanging="425"/>
        <w:rPr>
          <w:rStyle w:val="Emphasis"/>
          <w:i w:val="0"/>
          <w:sz w:val="22"/>
          <w:szCs w:val="22"/>
        </w:rPr>
      </w:pPr>
      <w:r w:rsidRPr="00064751">
        <w:rPr>
          <w:rStyle w:val="Emphasis"/>
          <w:i w:val="0"/>
          <w:sz w:val="22"/>
          <w:szCs w:val="22"/>
        </w:rPr>
        <w:t>Contract Administration – ensuring the ongoing consistency and currency of the formal contract documentation as the implementation proceeds.</w:t>
      </w:r>
    </w:p>
    <w:p w14:paraId="393A7F56" w14:textId="12A39C34" w:rsidR="006E4227" w:rsidRPr="00064751" w:rsidRDefault="006E4227" w:rsidP="00064751">
      <w:pPr>
        <w:spacing w:line="260" w:lineRule="atLeast"/>
        <w:rPr>
          <w:rStyle w:val="Emphasis"/>
          <w:i w:val="0"/>
          <w:sz w:val="22"/>
          <w:szCs w:val="22"/>
        </w:rPr>
      </w:pPr>
      <w:r w:rsidRPr="00064751">
        <w:rPr>
          <w:rStyle w:val="Emphasis"/>
          <w:b/>
          <w:bCs/>
          <w:i w:val="0"/>
          <w:sz w:val="22"/>
          <w:szCs w:val="22"/>
        </w:rPr>
        <w:t>Contract change management.</w:t>
      </w:r>
      <w:r w:rsidRPr="00064751">
        <w:rPr>
          <w:rStyle w:val="Emphasis"/>
          <w:i w:val="0"/>
          <w:sz w:val="22"/>
          <w:szCs w:val="22"/>
        </w:rPr>
        <w:t xml:space="preserve"> Over the life of the service contract it is likely that there will be some significant change that is unforeseen and falls outside routine contract management.  The formal and informal processes which need to be in place to successfully manage contract change are documented in the </w:t>
      </w:r>
      <w:r w:rsidRPr="00064751">
        <w:rPr>
          <w:rStyle w:val="Emphasis"/>
          <w:i w:val="0"/>
          <w:sz w:val="22"/>
          <w:szCs w:val="22"/>
          <w:highlight w:val="yellow"/>
        </w:rPr>
        <w:t>Contract Management Plan</w:t>
      </w:r>
      <w:r w:rsidR="00122AD6" w:rsidRPr="00064751">
        <w:rPr>
          <w:rStyle w:val="Emphasis"/>
          <w:i w:val="0"/>
          <w:sz w:val="22"/>
          <w:szCs w:val="22"/>
        </w:rPr>
        <w:t xml:space="preserve"> </w:t>
      </w:r>
      <w:r w:rsidRPr="00064751">
        <w:rPr>
          <w:rStyle w:val="Emphasis"/>
          <w:iCs w:val="0"/>
          <w:color w:val="0000FF"/>
          <w:sz w:val="22"/>
          <w:szCs w:val="22"/>
        </w:rPr>
        <w:t>-or</w:t>
      </w:r>
      <w:proofErr w:type="gramStart"/>
      <w:r w:rsidR="00122AD6" w:rsidRPr="00064751">
        <w:rPr>
          <w:rStyle w:val="Emphasis"/>
          <w:iCs w:val="0"/>
          <w:color w:val="0000FF"/>
          <w:sz w:val="22"/>
          <w:szCs w:val="22"/>
        </w:rPr>
        <w:t xml:space="preserve">-  </w:t>
      </w:r>
      <w:r w:rsidRPr="00064751">
        <w:rPr>
          <w:rStyle w:val="Emphasis"/>
          <w:i w:val="0"/>
          <w:sz w:val="22"/>
          <w:szCs w:val="22"/>
          <w:highlight w:val="yellow"/>
        </w:rPr>
        <w:t>as</w:t>
      </w:r>
      <w:proofErr w:type="gramEnd"/>
      <w:r w:rsidRPr="00064751">
        <w:rPr>
          <w:rStyle w:val="Emphasis"/>
          <w:i w:val="0"/>
          <w:sz w:val="22"/>
          <w:szCs w:val="22"/>
          <w:highlight w:val="yellow"/>
        </w:rPr>
        <w:t xml:space="preserve"> follows</w:t>
      </w:r>
      <w:r w:rsidRPr="00064751">
        <w:rPr>
          <w:rStyle w:val="Emphasis"/>
          <w:i w:val="0"/>
          <w:sz w:val="22"/>
          <w:szCs w:val="22"/>
        </w:rPr>
        <w:t>:</w:t>
      </w:r>
    </w:p>
    <w:p w14:paraId="1433D884" w14:textId="77777777" w:rsidR="006E4227" w:rsidRPr="00064751" w:rsidRDefault="006E4227" w:rsidP="00064751">
      <w:pPr>
        <w:pStyle w:val="ListParagraph"/>
        <w:numPr>
          <w:ilvl w:val="0"/>
          <w:numId w:val="39"/>
        </w:numPr>
        <w:spacing w:line="260" w:lineRule="atLeast"/>
        <w:ind w:left="425" w:hanging="425"/>
        <w:rPr>
          <w:rStyle w:val="Emphasis"/>
          <w:i w:val="0"/>
          <w:sz w:val="22"/>
          <w:szCs w:val="22"/>
          <w:highlight w:val="yellow"/>
        </w:rPr>
      </w:pPr>
      <w:r w:rsidRPr="00064751">
        <w:rPr>
          <w:rStyle w:val="Emphasis"/>
          <w:iCs w:val="0"/>
          <w:color w:val="0000FF"/>
          <w:sz w:val="22"/>
          <w:szCs w:val="22"/>
          <w:highlight w:val="yellow"/>
        </w:rPr>
        <w:t>Summarise the change processes</w:t>
      </w:r>
    </w:p>
    <w:p w14:paraId="2406045D" w14:textId="77777777" w:rsidR="006E4227" w:rsidRPr="00064751" w:rsidRDefault="006E4227" w:rsidP="00064751">
      <w:pPr>
        <w:spacing w:line="260" w:lineRule="atLeast"/>
        <w:rPr>
          <w:rStyle w:val="Emphasis"/>
          <w:i w:val="0"/>
          <w:sz w:val="22"/>
          <w:szCs w:val="22"/>
        </w:rPr>
      </w:pPr>
      <w:r w:rsidRPr="00064751">
        <w:rPr>
          <w:rStyle w:val="Emphasis"/>
          <w:b/>
          <w:bCs/>
          <w:i w:val="0"/>
          <w:sz w:val="22"/>
          <w:szCs w:val="22"/>
        </w:rPr>
        <w:t>Contingency plans,</w:t>
      </w:r>
      <w:r w:rsidRPr="00064751">
        <w:rPr>
          <w:rStyle w:val="Emphasis"/>
          <w:i w:val="0"/>
          <w:sz w:val="22"/>
          <w:szCs w:val="22"/>
        </w:rPr>
        <w:t xml:space="preserve"> including penalties in the event of non-delivery of the contracted services, are </w:t>
      </w:r>
      <w:r w:rsidRPr="00064751">
        <w:rPr>
          <w:rStyle w:val="Emphasis"/>
          <w:i w:val="0"/>
          <w:sz w:val="22"/>
          <w:szCs w:val="22"/>
          <w:highlight w:val="yellow"/>
        </w:rPr>
        <w:t>included in the Contingency plan as part of the Contract Management Plan</w:t>
      </w:r>
      <w:r w:rsidRPr="00064751">
        <w:rPr>
          <w:rStyle w:val="Emphasis"/>
          <w:i w:val="0"/>
          <w:sz w:val="22"/>
          <w:szCs w:val="22"/>
        </w:rPr>
        <w:t xml:space="preserve"> </w:t>
      </w:r>
    </w:p>
    <w:p w14:paraId="15E23768" w14:textId="74C058F7" w:rsidR="006E4227" w:rsidRPr="00064751" w:rsidRDefault="006E4227" w:rsidP="00064751">
      <w:pPr>
        <w:spacing w:line="260" w:lineRule="atLeast"/>
        <w:rPr>
          <w:rStyle w:val="Emphasis"/>
          <w:i w:val="0"/>
          <w:color w:val="0000FF"/>
          <w:sz w:val="22"/>
          <w:szCs w:val="22"/>
        </w:rPr>
      </w:pPr>
      <w:r w:rsidRPr="00064751">
        <w:rPr>
          <w:rStyle w:val="Emphasis"/>
          <w:iCs w:val="0"/>
          <w:color w:val="0000FF"/>
          <w:sz w:val="22"/>
          <w:szCs w:val="22"/>
          <w:highlight w:val="yellow"/>
        </w:rPr>
        <w:t>-</w:t>
      </w:r>
      <w:r w:rsidR="00064751">
        <w:rPr>
          <w:rStyle w:val="Emphasis"/>
          <w:iCs w:val="0"/>
          <w:color w:val="0000FF"/>
          <w:sz w:val="22"/>
          <w:szCs w:val="22"/>
          <w:highlight w:val="yellow"/>
        </w:rPr>
        <w:t xml:space="preserve"> OR </w:t>
      </w:r>
      <w:r w:rsidRPr="00064751">
        <w:rPr>
          <w:rStyle w:val="Emphasis"/>
          <w:iCs w:val="0"/>
          <w:color w:val="0000FF"/>
          <w:sz w:val="22"/>
          <w:szCs w:val="22"/>
          <w:highlight w:val="yellow"/>
        </w:rPr>
        <w:t>-</w:t>
      </w:r>
      <w:r w:rsidRPr="00064751">
        <w:rPr>
          <w:rStyle w:val="Emphasis"/>
          <w:i w:val="0"/>
          <w:color w:val="0000FF"/>
          <w:sz w:val="22"/>
          <w:szCs w:val="22"/>
        </w:rPr>
        <w:t xml:space="preserve"> </w:t>
      </w:r>
    </w:p>
    <w:p w14:paraId="22745F88" w14:textId="77777777" w:rsidR="006E4227" w:rsidRPr="00064751" w:rsidRDefault="006E4227" w:rsidP="00064751">
      <w:pPr>
        <w:spacing w:line="260" w:lineRule="atLeast"/>
        <w:rPr>
          <w:rStyle w:val="Emphasis"/>
          <w:i w:val="0"/>
          <w:sz w:val="22"/>
          <w:szCs w:val="22"/>
          <w:highlight w:val="yellow"/>
        </w:rPr>
      </w:pPr>
      <w:proofErr w:type="gramStart"/>
      <w:r w:rsidRPr="00064751">
        <w:rPr>
          <w:rStyle w:val="Emphasis"/>
          <w:i w:val="0"/>
          <w:sz w:val="22"/>
          <w:szCs w:val="22"/>
          <w:highlight w:val="yellow"/>
        </w:rPr>
        <w:t>as</w:t>
      </w:r>
      <w:proofErr w:type="gramEnd"/>
      <w:r w:rsidRPr="00064751">
        <w:rPr>
          <w:rStyle w:val="Emphasis"/>
          <w:i w:val="0"/>
          <w:sz w:val="22"/>
          <w:szCs w:val="22"/>
          <w:highlight w:val="yellow"/>
        </w:rPr>
        <w:t xml:space="preserve"> follows:</w:t>
      </w:r>
    </w:p>
    <w:p w14:paraId="6581BA92" w14:textId="77777777" w:rsidR="006E4227" w:rsidRPr="00064751" w:rsidRDefault="006E4227" w:rsidP="00064751">
      <w:pPr>
        <w:numPr>
          <w:ilvl w:val="0"/>
          <w:numId w:val="22"/>
        </w:numPr>
        <w:spacing w:line="260" w:lineRule="atLeast"/>
        <w:ind w:left="425" w:hanging="425"/>
        <w:rPr>
          <w:rStyle w:val="Emphasis"/>
          <w:color w:val="0000CC"/>
          <w:sz w:val="22"/>
          <w:szCs w:val="22"/>
          <w:highlight w:val="yellow"/>
        </w:rPr>
      </w:pPr>
      <w:r w:rsidRPr="00064751">
        <w:rPr>
          <w:rStyle w:val="Emphasis"/>
          <w:color w:val="0000CC"/>
          <w:sz w:val="22"/>
          <w:szCs w:val="22"/>
          <w:highlight w:val="yellow"/>
        </w:rPr>
        <w:t>Summarise key contingency plans</w:t>
      </w:r>
    </w:p>
    <w:p w14:paraId="60CA6C73" w14:textId="1FED7FD5" w:rsidR="006E34C4" w:rsidRPr="00064751" w:rsidRDefault="006E4227" w:rsidP="00064751">
      <w:pPr>
        <w:spacing w:line="260" w:lineRule="atLeast"/>
        <w:rPr>
          <w:rStyle w:val="Emphasis"/>
          <w:i w:val="0"/>
          <w:sz w:val="22"/>
          <w:szCs w:val="22"/>
        </w:rPr>
      </w:pPr>
      <w:r w:rsidRPr="00064751">
        <w:rPr>
          <w:rStyle w:val="Emphasis"/>
          <w:i w:val="0"/>
          <w:sz w:val="22"/>
          <w:szCs w:val="22"/>
        </w:rPr>
        <w:t>The pla</w:t>
      </w:r>
      <w:r w:rsidR="006E34C4" w:rsidRPr="00064751">
        <w:rPr>
          <w:rStyle w:val="Emphasis"/>
          <w:i w:val="0"/>
          <w:sz w:val="22"/>
          <w:szCs w:val="22"/>
        </w:rPr>
        <w:t>ns, processes and procedures</w:t>
      </w:r>
      <w:r w:rsidRPr="00064751">
        <w:rPr>
          <w:rStyle w:val="Emphasis"/>
          <w:i w:val="0"/>
          <w:sz w:val="22"/>
          <w:szCs w:val="22"/>
        </w:rPr>
        <w:t xml:space="preserve"> for contract management</w:t>
      </w:r>
      <w:r w:rsidR="006E34C4" w:rsidRPr="00064751">
        <w:rPr>
          <w:rStyle w:val="Emphasis"/>
          <w:i w:val="0"/>
          <w:sz w:val="22"/>
          <w:szCs w:val="22"/>
        </w:rPr>
        <w:t xml:space="preserve">, </w:t>
      </w:r>
      <w:r w:rsidRPr="00064751">
        <w:rPr>
          <w:rStyle w:val="Emphasis"/>
          <w:i w:val="0"/>
          <w:sz w:val="22"/>
          <w:szCs w:val="22"/>
        </w:rPr>
        <w:t xml:space="preserve">are documented in detail in the Contract Management Plan. </w:t>
      </w:r>
      <w:r w:rsidR="006E34C4" w:rsidRPr="00064751">
        <w:rPr>
          <w:rStyle w:val="Emphasis"/>
          <w:i w:val="0"/>
          <w:sz w:val="22"/>
          <w:szCs w:val="22"/>
        </w:rPr>
        <w:t xml:space="preserve"> This includes: </w:t>
      </w:r>
    </w:p>
    <w:p w14:paraId="62A96959" w14:textId="77777777"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Roles and responsibilities</w:t>
      </w:r>
    </w:p>
    <w:p w14:paraId="183B77B7" w14:textId="4BAD3609"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Payment/charging mechanisms and schedule</w:t>
      </w:r>
    </w:p>
    <w:p w14:paraId="3C6C6F0A" w14:textId="2A5EC97B"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Variation and escalation procedures</w:t>
      </w:r>
    </w:p>
    <w:p w14:paraId="7AFE8A68" w14:textId="77777777"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Dispute arrangements including management of escalation and penalties</w:t>
      </w:r>
    </w:p>
    <w:p w14:paraId="26EC9805" w14:textId="4DCB78B3"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Contingency plans including processes to enact penalty clauses/remedies in the event of non-delivery</w:t>
      </w:r>
    </w:p>
    <w:p w14:paraId="5D90B2EF" w14:textId="77777777"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Treatment of intellectual property rights</w:t>
      </w:r>
    </w:p>
    <w:p w14:paraId="4EE49A9C" w14:textId="77777777"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lastRenderedPageBreak/>
        <w:t>Allocation of risk</w:t>
      </w:r>
    </w:p>
    <w:p w14:paraId="330C20C0" w14:textId="77777777"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 xml:space="preserve">Operational and contract administration </w:t>
      </w:r>
      <w:proofErr w:type="spellStart"/>
      <w:r w:rsidRPr="00064751">
        <w:rPr>
          <w:rStyle w:val="Emphasis"/>
          <w:i w:val="0"/>
          <w:iCs w:val="0"/>
          <w:sz w:val="22"/>
          <w:szCs w:val="22"/>
        </w:rPr>
        <w:t>Ts&amp;Cs</w:t>
      </w:r>
      <w:proofErr w:type="spellEnd"/>
    </w:p>
    <w:p w14:paraId="74FB59D3" w14:textId="77777777" w:rsidR="006E34C4" w:rsidRPr="00064751" w:rsidRDefault="006E34C4" w:rsidP="00064751">
      <w:pPr>
        <w:numPr>
          <w:ilvl w:val="0"/>
          <w:numId w:val="20"/>
        </w:numPr>
        <w:spacing w:line="260" w:lineRule="atLeast"/>
        <w:ind w:left="425" w:hanging="425"/>
        <w:rPr>
          <w:rStyle w:val="Emphasis"/>
          <w:i w:val="0"/>
          <w:iCs w:val="0"/>
          <w:sz w:val="22"/>
          <w:szCs w:val="22"/>
        </w:rPr>
      </w:pPr>
      <w:r w:rsidRPr="00064751">
        <w:rPr>
          <w:rStyle w:val="Emphasis"/>
          <w:i w:val="0"/>
          <w:iCs w:val="0"/>
          <w:sz w:val="22"/>
          <w:szCs w:val="22"/>
        </w:rPr>
        <w:t>Options at end of contract.</w:t>
      </w:r>
      <w:r w:rsidR="006E4227" w:rsidRPr="00064751">
        <w:rPr>
          <w:rStyle w:val="Emphasis"/>
          <w:i w:val="0"/>
          <w:iCs w:val="0"/>
          <w:sz w:val="22"/>
          <w:szCs w:val="22"/>
        </w:rPr>
        <w:t xml:space="preserve"> </w:t>
      </w:r>
    </w:p>
    <w:p w14:paraId="3CDF6EE5" w14:textId="12C3DF82" w:rsidR="006E4227" w:rsidRPr="00064751" w:rsidRDefault="006E4227" w:rsidP="00064751">
      <w:pPr>
        <w:spacing w:line="260" w:lineRule="atLeast"/>
        <w:rPr>
          <w:rStyle w:val="Emphasis"/>
          <w:i w:val="0"/>
          <w:sz w:val="22"/>
          <w:szCs w:val="22"/>
        </w:rPr>
      </w:pPr>
      <w:r w:rsidRPr="00064751">
        <w:rPr>
          <w:rStyle w:val="Emphasis"/>
          <w:i w:val="0"/>
          <w:sz w:val="22"/>
          <w:szCs w:val="22"/>
        </w:rPr>
        <w:t xml:space="preserve">The current version (as at </w:t>
      </w:r>
      <w:proofErr w:type="spellStart"/>
      <w:r w:rsidRPr="00064751">
        <w:rPr>
          <w:rStyle w:val="Emphasis"/>
          <w:i w:val="0"/>
          <w:sz w:val="22"/>
          <w:szCs w:val="22"/>
          <w:highlight w:val="yellow"/>
        </w:rPr>
        <w:t>dd</w:t>
      </w:r>
      <w:proofErr w:type="spellEnd"/>
      <w:r w:rsidRPr="00064751">
        <w:rPr>
          <w:rStyle w:val="Emphasis"/>
          <w:i w:val="0"/>
          <w:sz w:val="22"/>
          <w:szCs w:val="22"/>
          <w:highlight w:val="yellow"/>
        </w:rPr>
        <w:t xml:space="preserve"> </w:t>
      </w:r>
      <w:proofErr w:type="spellStart"/>
      <w:r w:rsidRPr="00064751">
        <w:rPr>
          <w:rStyle w:val="Emphasis"/>
          <w:i w:val="0"/>
          <w:sz w:val="22"/>
          <w:szCs w:val="22"/>
          <w:highlight w:val="yellow"/>
        </w:rPr>
        <w:t>Mmm</w:t>
      </w:r>
      <w:proofErr w:type="spellEnd"/>
      <w:r w:rsidRPr="00064751">
        <w:rPr>
          <w:rStyle w:val="Emphasis"/>
          <w:i w:val="0"/>
          <w:sz w:val="22"/>
          <w:szCs w:val="22"/>
          <w:highlight w:val="yellow"/>
        </w:rPr>
        <w:t xml:space="preserve"> </w:t>
      </w:r>
      <w:r w:rsidR="0003530F" w:rsidRPr="00064751">
        <w:rPr>
          <w:rStyle w:val="Emphasis"/>
          <w:i w:val="0"/>
          <w:sz w:val="22"/>
          <w:szCs w:val="22"/>
          <w:highlight w:val="yellow"/>
        </w:rPr>
        <w:t>20YY</w:t>
      </w:r>
      <w:r w:rsidR="00122AD6" w:rsidRPr="00064751">
        <w:rPr>
          <w:rStyle w:val="Emphasis"/>
          <w:i w:val="0"/>
          <w:sz w:val="22"/>
          <w:szCs w:val="22"/>
        </w:rPr>
        <w:t>)</w:t>
      </w:r>
      <w:r w:rsidR="00122AD6" w:rsidRPr="00064751">
        <w:rPr>
          <w:rStyle w:val="Heading2Char"/>
          <w:i/>
        </w:rPr>
        <w:t xml:space="preserve"> </w:t>
      </w:r>
      <w:r w:rsidRPr="00064751">
        <w:rPr>
          <w:rStyle w:val="Emphasis"/>
          <w:i w:val="0"/>
          <w:sz w:val="22"/>
          <w:szCs w:val="22"/>
        </w:rPr>
        <w:t xml:space="preserve">is listed in </w:t>
      </w:r>
      <w:hyperlink w:anchor="_Annex_2:_" w:history="1">
        <w:r w:rsidRPr="00064751">
          <w:rPr>
            <w:rStyle w:val="Hyperlink"/>
            <w:szCs w:val="22"/>
          </w:rPr>
          <w:t>Annex 2</w:t>
        </w:r>
      </w:hyperlink>
      <w:r w:rsidRPr="00064751">
        <w:rPr>
          <w:rStyle w:val="Emphasis"/>
          <w:i w:val="0"/>
          <w:sz w:val="22"/>
          <w:szCs w:val="22"/>
        </w:rPr>
        <w:t xml:space="preserve"> and is available on request.</w:t>
      </w:r>
    </w:p>
    <w:p w14:paraId="34D41335" w14:textId="77777777" w:rsidR="00BB6AB0" w:rsidRPr="00D17BFC" w:rsidRDefault="00BB6AB0" w:rsidP="006E4FDB">
      <w:pPr>
        <w:pStyle w:val="Heading2"/>
      </w:pPr>
      <w:r>
        <w:t>Assurance and Post-project Arrangements</w:t>
      </w:r>
    </w:p>
    <w:p w14:paraId="46F1AB0D" w14:textId="77777777" w:rsidR="00EA78A5" w:rsidRPr="00211397" w:rsidRDefault="005E54F8" w:rsidP="00211397">
      <w:pPr>
        <w:pStyle w:val="Heading3"/>
        <w:rPr>
          <w:rStyle w:val="Emphasis"/>
          <w:i w:val="0"/>
          <w:iCs w:val="0"/>
          <w:color w:val="002469"/>
          <w:sz w:val="24"/>
        </w:rPr>
      </w:pPr>
      <w:r w:rsidRPr="00211397">
        <w:rPr>
          <w:rStyle w:val="Emphasis"/>
          <w:i w:val="0"/>
          <w:iCs w:val="0"/>
          <w:color w:val="002469"/>
          <w:sz w:val="24"/>
        </w:rPr>
        <w:t>Quality management</w:t>
      </w:r>
    </w:p>
    <w:p w14:paraId="2753524B" w14:textId="73EBC5A4" w:rsidR="006A7630" w:rsidRPr="00064751" w:rsidRDefault="005E54F8" w:rsidP="00122AD6">
      <w:pPr>
        <w:spacing w:line="260" w:lineRule="atLeast"/>
        <w:rPr>
          <w:rStyle w:val="Emphasis"/>
          <w:i w:val="0"/>
          <w:sz w:val="22"/>
          <w:szCs w:val="22"/>
        </w:rPr>
      </w:pPr>
      <w:r w:rsidRPr="00064751">
        <w:rPr>
          <w:szCs w:val="22"/>
        </w:rPr>
        <w:t xml:space="preserve">A Quality Plan has been developed to ensure the quality and formal sign-off of key deliverables. </w:t>
      </w:r>
      <w:r w:rsidR="00681F58" w:rsidRPr="00064751">
        <w:rPr>
          <w:szCs w:val="22"/>
        </w:rPr>
        <w:t xml:space="preserve"> </w:t>
      </w:r>
      <w:r w:rsidRPr="00064751">
        <w:rPr>
          <w:szCs w:val="22"/>
        </w:rPr>
        <w:t xml:space="preserve">This </w:t>
      </w:r>
      <w:r w:rsidR="007E6969" w:rsidRPr="00064751">
        <w:rPr>
          <w:rStyle w:val="Emphasis"/>
          <w:i w:val="0"/>
          <w:sz w:val="22"/>
          <w:szCs w:val="22"/>
        </w:rPr>
        <w:t>is a living document</w:t>
      </w:r>
      <w:r w:rsidR="006A7630" w:rsidRPr="00064751">
        <w:rPr>
          <w:rStyle w:val="Emphasis"/>
          <w:i w:val="0"/>
          <w:sz w:val="22"/>
          <w:szCs w:val="22"/>
        </w:rPr>
        <w:t xml:space="preserve">; the current version (as at </w:t>
      </w:r>
      <w:proofErr w:type="spellStart"/>
      <w:r w:rsidR="006A7630" w:rsidRPr="00064751">
        <w:rPr>
          <w:rStyle w:val="Emphasis"/>
          <w:i w:val="0"/>
          <w:sz w:val="22"/>
          <w:szCs w:val="22"/>
          <w:highlight w:val="yellow"/>
        </w:rPr>
        <w:t>dd</w:t>
      </w:r>
      <w:proofErr w:type="spellEnd"/>
      <w:r w:rsidR="006A7630" w:rsidRPr="00064751">
        <w:rPr>
          <w:rStyle w:val="Emphasis"/>
          <w:i w:val="0"/>
          <w:sz w:val="22"/>
          <w:szCs w:val="22"/>
          <w:highlight w:val="yellow"/>
        </w:rPr>
        <w:t xml:space="preserve"> </w:t>
      </w:r>
      <w:proofErr w:type="spellStart"/>
      <w:r w:rsidR="006A7630" w:rsidRPr="00064751">
        <w:rPr>
          <w:rStyle w:val="Emphasis"/>
          <w:i w:val="0"/>
          <w:sz w:val="22"/>
          <w:szCs w:val="22"/>
          <w:highlight w:val="yellow"/>
        </w:rPr>
        <w:t>Mmm</w:t>
      </w:r>
      <w:proofErr w:type="spellEnd"/>
      <w:r w:rsidR="006A7630" w:rsidRPr="00064751">
        <w:rPr>
          <w:rStyle w:val="Emphasis"/>
          <w:i w:val="0"/>
          <w:sz w:val="22"/>
          <w:szCs w:val="22"/>
          <w:highlight w:val="yellow"/>
        </w:rPr>
        <w:t xml:space="preserve"> </w:t>
      </w:r>
      <w:r w:rsidR="0003530F" w:rsidRPr="00064751">
        <w:rPr>
          <w:rStyle w:val="Emphasis"/>
          <w:i w:val="0"/>
          <w:sz w:val="22"/>
          <w:szCs w:val="22"/>
          <w:highlight w:val="yellow"/>
        </w:rPr>
        <w:t>20YY</w:t>
      </w:r>
      <w:r w:rsidR="006A7630" w:rsidRPr="00064751">
        <w:rPr>
          <w:rStyle w:val="Emphasis"/>
          <w:i w:val="0"/>
          <w:sz w:val="22"/>
          <w:szCs w:val="22"/>
        </w:rPr>
        <w:t xml:space="preserve">) is listed in </w:t>
      </w:r>
      <w:hyperlink w:anchor="_Annex_2:_" w:history="1">
        <w:r w:rsidR="006A7630" w:rsidRPr="00064751">
          <w:rPr>
            <w:rStyle w:val="Hyperlink"/>
            <w:szCs w:val="22"/>
          </w:rPr>
          <w:t>Annex 2</w:t>
        </w:r>
      </w:hyperlink>
      <w:r w:rsidR="006A7630" w:rsidRPr="00064751">
        <w:rPr>
          <w:rStyle w:val="Emphasis"/>
          <w:i w:val="0"/>
          <w:sz w:val="22"/>
          <w:szCs w:val="22"/>
        </w:rPr>
        <w:t xml:space="preserve"> and is available on request.</w:t>
      </w:r>
    </w:p>
    <w:p w14:paraId="1026B1D7" w14:textId="77777777" w:rsidR="00A62219" w:rsidRPr="00211397" w:rsidRDefault="00A62219" w:rsidP="00211397">
      <w:pPr>
        <w:pStyle w:val="Heading3"/>
        <w:rPr>
          <w:rStyle w:val="Emphasis"/>
          <w:i w:val="0"/>
          <w:iCs w:val="0"/>
          <w:color w:val="002469"/>
          <w:sz w:val="24"/>
        </w:rPr>
      </w:pPr>
      <w:r w:rsidRPr="00211397">
        <w:rPr>
          <w:rStyle w:val="Emphasis"/>
          <w:i w:val="0"/>
          <w:iCs w:val="0"/>
          <w:color w:val="002469"/>
          <w:sz w:val="24"/>
        </w:rPr>
        <w:t>Assurance</w:t>
      </w:r>
    </w:p>
    <w:p w14:paraId="4A785686" w14:textId="2FA6038D" w:rsidR="006A7630" w:rsidRPr="00064751" w:rsidRDefault="006A7630" w:rsidP="00122AD6">
      <w:pPr>
        <w:spacing w:after="80" w:line="260" w:lineRule="atLeast"/>
        <w:rPr>
          <w:rStyle w:val="Emphasis"/>
          <w:i w:val="0"/>
          <w:color w:val="0000FF"/>
          <w:sz w:val="22"/>
          <w:szCs w:val="22"/>
          <w:u w:val="single"/>
        </w:rPr>
      </w:pPr>
      <w:r w:rsidRPr="00064751">
        <w:rPr>
          <w:rStyle w:val="Emphasis"/>
          <w:i w:val="0"/>
          <w:sz w:val="22"/>
          <w:szCs w:val="22"/>
        </w:rPr>
        <w:t>An Assurance Plan has been developed in accordance with Digital Public Service Branch Guidelines</w:t>
      </w:r>
      <w:r w:rsidR="006E34C4" w:rsidRPr="00064751">
        <w:rPr>
          <w:rStyle w:val="Emphasis"/>
          <w:i w:val="0"/>
          <w:sz w:val="22"/>
          <w:szCs w:val="22"/>
        </w:rPr>
        <w:t xml:space="preserve"> </w:t>
      </w:r>
      <w:r w:rsidR="006E34C4" w:rsidRPr="00064751">
        <w:rPr>
          <w:rStyle w:val="Emphasis"/>
          <w:iCs w:val="0"/>
          <w:color w:val="0000FF"/>
          <w:sz w:val="22"/>
          <w:szCs w:val="22"/>
        </w:rPr>
        <w:t>(if required)</w:t>
      </w:r>
      <w:r w:rsidRPr="00064751">
        <w:rPr>
          <w:rStyle w:val="Emphasis"/>
          <w:iCs w:val="0"/>
          <w:color w:val="0000FF"/>
          <w:sz w:val="22"/>
          <w:szCs w:val="22"/>
        </w:rPr>
        <w:t>.</w:t>
      </w:r>
      <w:r w:rsidRPr="00064751">
        <w:rPr>
          <w:rStyle w:val="Emphasis"/>
          <w:i w:val="0"/>
          <w:sz w:val="22"/>
          <w:szCs w:val="22"/>
        </w:rPr>
        <w:t xml:space="preserve">  </w:t>
      </w:r>
      <w:r w:rsidRPr="00064751">
        <w:rPr>
          <w:rStyle w:val="Emphasis"/>
          <w:iCs w:val="0"/>
          <w:color w:val="0000FF"/>
          <w:sz w:val="22"/>
          <w:szCs w:val="22"/>
          <w:u w:val="single"/>
        </w:rPr>
        <w:t>Summarise</w:t>
      </w:r>
      <w:r w:rsidR="00C920B0" w:rsidRPr="00064751">
        <w:rPr>
          <w:rStyle w:val="Emphasis"/>
          <w:iCs w:val="0"/>
          <w:color w:val="0000FF"/>
          <w:sz w:val="22"/>
          <w:szCs w:val="22"/>
          <w:u w:val="single"/>
        </w:rPr>
        <w:t xml:space="preserve"> content</w:t>
      </w:r>
      <w:r w:rsidRPr="00064751">
        <w:rPr>
          <w:rStyle w:val="Emphasis"/>
          <w:iCs w:val="0"/>
          <w:color w:val="0000FF"/>
          <w:sz w:val="22"/>
          <w:szCs w:val="22"/>
          <w:u w:val="single"/>
        </w:rPr>
        <w:t>, e.g.</w:t>
      </w:r>
      <w:r w:rsidRPr="00064751">
        <w:rPr>
          <w:rStyle w:val="Emphasis"/>
          <w:i w:val="0"/>
          <w:color w:val="0000FF"/>
          <w:sz w:val="22"/>
          <w:szCs w:val="22"/>
          <w:u w:val="single"/>
        </w:rPr>
        <w:t xml:space="preserve"> </w:t>
      </w:r>
    </w:p>
    <w:p w14:paraId="542237FF" w14:textId="6715CD78" w:rsidR="005E54F8" w:rsidRPr="00064751" w:rsidRDefault="005E54F8" w:rsidP="00064751">
      <w:pPr>
        <w:pStyle w:val="ListParagraph"/>
        <w:numPr>
          <w:ilvl w:val="0"/>
          <w:numId w:val="22"/>
        </w:numPr>
        <w:spacing w:line="260" w:lineRule="atLeast"/>
        <w:ind w:left="425" w:hanging="425"/>
        <w:rPr>
          <w:rStyle w:val="Emphasis"/>
          <w:i w:val="0"/>
          <w:sz w:val="22"/>
          <w:szCs w:val="22"/>
        </w:rPr>
      </w:pPr>
      <w:r w:rsidRPr="00064751">
        <w:rPr>
          <w:rStyle w:val="Emphasis"/>
          <w:i w:val="0"/>
          <w:sz w:val="22"/>
          <w:szCs w:val="22"/>
        </w:rPr>
        <w:t xml:space="preserve">Independent Quality Assurance (IQA) has been </w:t>
      </w:r>
      <w:r w:rsidR="00950A2D" w:rsidRPr="00064751">
        <w:rPr>
          <w:rStyle w:val="Emphasis"/>
          <w:i w:val="0"/>
          <w:sz w:val="22"/>
          <w:szCs w:val="22"/>
        </w:rPr>
        <w:t>ongoing</w:t>
      </w:r>
      <w:r w:rsidRPr="00064751">
        <w:rPr>
          <w:rStyle w:val="Emphasis"/>
          <w:i w:val="0"/>
          <w:sz w:val="22"/>
          <w:szCs w:val="22"/>
        </w:rPr>
        <w:t xml:space="preserve"> throughout the project and recommendations from the IQA have been incorporated </w:t>
      </w:r>
      <w:r w:rsidRPr="00064751">
        <w:rPr>
          <w:rStyle w:val="Emphasis"/>
          <w:i w:val="0"/>
          <w:sz w:val="22"/>
          <w:szCs w:val="22"/>
          <w:highlight w:val="yellow"/>
        </w:rPr>
        <w:t>……</w:t>
      </w:r>
      <w:r w:rsidRPr="00064751">
        <w:rPr>
          <w:rStyle w:val="Emphasis"/>
          <w:i w:val="0"/>
          <w:sz w:val="22"/>
          <w:szCs w:val="22"/>
        </w:rPr>
        <w:t xml:space="preserve"> </w:t>
      </w:r>
    </w:p>
    <w:p w14:paraId="3FCB0302" w14:textId="3DF8E23C" w:rsidR="005E54F8" w:rsidRPr="00064751" w:rsidRDefault="005E54F8" w:rsidP="00064751">
      <w:pPr>
        <w:pStyle w:val="ListParagraph"/>
        <w:numPr>
          <w:ilvl w:val="0"/>
          <w:numId w:val="22"/>
        </w:numPr>
        <w:spacing w:line="260" w:lineRule="atLeast"/>
        <w:ind w:left="425" w:hanging="425"/>
        <w:rPr>
          <w:szCs w:val="22"/>
        </w:rPr>
      </w:pPr>
      <w:r w:rsidRPr="00064751">
        <w:rPr>
          <w:szCs w:val="22"/>
        </w:rPr>
        <w:t>Technical Quality Assurance will be undertaken as follows:</w:t>
      </w:r>
      <w:r w:rsidR="006A7630" w:rsidRPr="00064751">
        <w:rPr>
          <w:szCs w:val="22"/>
        </w:rPr>
        <w:t xml:space="preserve"> </w:t>
      </w:r>
      <w:r w:rsidR="006A7630" w:rsidRPr="00064751">
        <w:rPr>
          <w:i/>
          <w:iCs/>
          <w:color w:val="0000FF"/>
          <w:szCs w:val="22"/>
          <w:highlight w:val="yellow"/>
        </w:rPr>
        <w:t>list</w:t>
      </w:r>
    </w:p>
    <w:p w14:paraId="100BE786" w14:textId="370A08C2" w:rsidR="006A7630" w:rsidRPr="00064751" w:rsidRDefault="006A7630" w:rsidP="00122AD6">
      <w:pPr>
        <w:spacing w:line="260" w:lineRule="atLeast"/>
        <w:rPr>
          <w:szCs w:val="22"/>
        </w:rPr>
      </w:pPr>
      <w:r w:rsidRPr="00064751">
        <w:rPr>
          <w:szCs w:val="22"/>
        </w:rPr>
        <w:t xml:space="preserve">The Assurance Plan is </w:t>
      </w:r>
      <w:r w:rsidRPr="00064751">
        <w:rPr>
          <w:rStyle w:val="Emphasis"/>
          <w:i w:val="0"/>
          <w:sz w:val="22"/>
          <w:szCs w:val="22"/>
        </w:rPr>
        <w:t xml:space="preserve">a living document; the current version (as at </w:t>
      </w:r>
      <w:proofErr w:type="spellStart"/>
      <w:r w:rsidRPr="00064751">
        <w:rPr>
          <w:rStyle w:val="Emphasis"/>
          <w:i w:val="0"/>
          <w:sz w:val="22"/>
          <w:szCs w:val="22"/>
          <w:highlight w:val="yellow"/>
        </w:rPr>
        <w:t>dd</w:t>
      </w:r>
      <w:proofErr w:type="spellEnd"/>
      <w:r w:rsidRPr="00064751">
        <w:rPr>
          <w:rStyle w:val="Emphasis"/>
          <w:i w:val="0"/>
          <w:sz w:val="22"/>
          <w:szCs w:val="22"/>
          <w:highlight w:val="yellow"/>
        </w:rPr>
        <w:t xml:space="preserve"> </w:t>
      </w:r>
      <w:proofErr w:type="spellStart"/>
      <w:r w:rsidRPr="00064751">
        <w:rPr>
          <w:rStyle w:val="Emphasis"/>
          <w:i w:val="0"/>
          <w:sz w:val="22"/>
          <w:szCs w:val="22"/>
          <w:highlight w:val="yellow"/>
        </w:rPr>
        <w:t>Mmm</w:t>
      </w:r>
      <w:proofErr w:type="spellEnd"/>
      <w:r w:rsidRPr="00064751">
        <w:rPr>
          <w:rStyle w:val="Emphasis"/>
          <w:i w:val="0"/>
          <w:sz w:val="22"/>
          <w:szCs w:val="22"/>
          <w:highlight w:val="yellow"/>
        </w:rPr>
        <w:t xml:space="preserve"> </w:t>
      </w:r>
      <w:r w:rsidR="0003530F" w:rsidRPr="00064751">
        <w:rPr>
          <w:rStyle w:val="Emphasis"/>
          <w:i w:val="0"/>
          <w:sz w:val="22"/>
          <w:szCs w:val="22"/>
          <w:highlight w:val="yellow"/>
        </w:rPr>
        <w:t>20YY</w:t>
      </w:r>
      <w:r w:rsidRPr="00064751">
        <w:rPr>
          <w:rStyle w:val="Emphasis"/>
          <w:i w:val="0"/>
          <w:sz w:val="22"/>
          <w:szCs w:val="22"/>
        </w:rPr>
        <w:t xml:space="preserve">) is listed in </w:t>
      </w:r>
      <w:hyperlink w:anchor="_Annex_2:_" w:history="1">
        <w:r w:rsidRPr="00064751">
          <w:rPr>
            <w:rStyle w:val="Hyperlink"/>
            <w:szCs w:val="22"/>
          </w:rPr>
          <w:t>Annex 2</w:t>
        </w:r>
      </w:hyperlink>
      <w:r w:rsidRPr="00064751">
        <w:rPr>
          <w:rStyle w:val="Emphasis"/>
          <w:i w:val="0"/>
          <w:sz w:val="22"/>
          <w:szCs w:val="22"/>
        </w:rPr>
        <w:t xml:space="preserve"> and is available on request.</w:t>
      </w:r>
    </w:p>
    <w:p w14:paraId="6A3F479B" w14:textId="77777777" w:rsidR="005E54F8" w:rsidRPr="00211397" w:rsidRDefault="00751EC7" w:rsidP="00211397">
      <w:pPr>
        <w:pStyle w:val="Heading3"/>
        <w:rPr>
          <w:rStyle w:val="Emphasis"/>
          <w:i w:val="0"/>
          <w:iCs w:val="0"/>
          <w:color w:val="002469"/>
          <w:sz w:val="24"/>
        </w:rPr>
      </w:pPr>
      <w:r w:rsidRPr="00211397">
        <w:rPr>
          <w:rStyle w:val="Emphasis"/>
          <w:i w:val="0"/>
          <w:iCs w:val="0"/>
          <w:color w:val="002469"/>
          <w:sz w:val="24"/>
        </w:rPr>
        <w:t>Gateway Reviews</w:t>
      </w:r>
    </w:p>
    <w:p w14:paraId="18AAE405" w14:textId="77777777" w:rsidR="00EA78A5" w:rsidRPr="00EA78A5" w:rsidRDefault="00EA78A5" w:rsidP="00317C8E">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EA78A5">
        <w:rPr>
          <w:rStyle w:val="Emphasis"/>
        </w:rPr>
        <w:t>This section only applies for high risk projects subject to Gateway review and/or independent quality assurance (IQA).</w:t>
      </w:r>
    </w:p>
    <w:p w14:paraId="6EFA5E11" w14:textId="77777777" w:rsidR="00EA78A5" w:rsidRPr="00064751" w:rsidRDefault="00EA78A5" w:rsidP="00CD1A83">
      <w:pPr>
        <w:spacing w:line="260" w:lineRule="atLeast"/>
        <w:rPr>
          <w:szCs w:val="22"/>
        </w:rPr>
      </w:pPr>
      <w:r w:rsidRPr="00064751">
        <w:rPr>
          <w:szCs w:val="22"/>
        </w:rPr>
        <w:t xml:space="preserve">This investment proposal has been assessed as </w:t>
      </w:r>
      <w:r w:rsidRPr="00064751">
        <w:rPr>
          <w:szCs w:val="22"/>
          <w:highlight w:val="yellow"/>
        </w:rPr>
        <w:t>[low/ medium/ high]</w:t>
      </w:r>
      <w:r w:rsidRPr="00064751">
        <w:rPr>
          <w:szCs w:val="22"/>
        </w:rPr>
        <w:t xml:space="preserve"> risk using the Treasury’s Risk Profile Assessment</w:t>
      </w:r>
      <w:r w:rsidR="00D63B6E" w:rsidRPr="00064751">
        <w:rPr>
          <w:szCs w:val="22"/>
        </w:rPr>
        <w:t xml:space="preserve"> (RPA)</w:t>
      </w:r>
      <w:r w:rsidRPr="00993F59">
        <w:rPr>
          <w:rStyle w:val="FootnoteReference"/>
          <w:sz w:val="22"/>
          <w:szCs w:val="22"/>
          <w:vertAlign w:val="superscript"/>
        </w:rPr>
        <w:footnoteReference w:id="7"/>
      </w:r>
      <w:r w:rsidRPr="00064751">
        <w:rPr>
          <w:szCs w:val="22"/>
        </w:rPr>
        <w:t xml:space="preserve"> tool and moderation process. </w:t>
      </w:r>
    </w:p>
    <w:p w14:paraId="5A8BA4AC" w14:textId="3FE7C5DB" w:rsidR="006E7545" w:rsidRPr="00064751" w:rsidRDefault="006E7545" w:rsidP="00CD1A83">
      <w:pPr>
        <w:spacing w:line="260" w:lineRule="atLeast"/>
        <w:rPr>
          <w:rStyle w:val="Emphasis"/>
          <w:color w:val="0000FF"/>
          <w:sz w:val="22"/>
          <w:szCs w:val="22"/>
        </w:rPr>
      </w:pPr>
      <w:r w:rsidRPr="00064751">
        <w:rPr>
          <w:rStyle w:val="Emphasis"/>
          <w:i w:val="0"/>
          <w:sz w:val="22"/>
          <w:szCs w:val="22"/>
          <w:highlight w:val="yellow"/>
        </w:rPr>
        <w:t xml:space="preserve">Gateway Reviews are not required as this </w:t>
      </w:r>
      <w:r w:rsidRPr="00064751">
        <w:rPr>
          <w:rStyle w:val="Emphasis"/>
          <w:iCs w:val="0"/>
          <w:color w:val="0000FF"/>
          <w:sz w:val="22"/>
          <w:szCs w:val="22"/>
          <w:highlight w:val="yellow"/>
        </w:rPr>
        <w:t>project/tranche</w:t>
      </w:r>
      <w:r w:rsidRPr="00064751">
        <w:rPr>
          <w:rStyle w:val="Emphasis"/>
          <w:i w:val="0"/>
          <w:color w:val="0000FF"/>
          <w:sz w:val="22"/>
          <w:szCs w:val="22"/>
          <w:highlight w:val="yellow"/>
        </w:rPr>
        <w:t xml:space="preserve"> </w:t>
      </w:r>
      <w:r w:rsidRPr="00064751">
        <w:rPr>
          <w:rStyle w:val="Emphasis"/>
          <w:i w:val="0"/>
          <w:sz w:val="22"/>
          <w:szCs w:val="22"/>
          <w:highlight w:val="yellow"/>
        </w:rPr>
        <w:t xml:space="preserve">has not been assessed as High </w:t>
      </w:r>
      <w:proofErr w:type="gramStart"/>
      <w:r w:rsidRPr="00064751">
        <w:rPr>
          <w:rStyle w:val="Emphasis"/>
          <w:i w:val="0"/>
          <w:sz w:val="22"/>
          <w:szCs w:val="22"/>
          <w:highlight w:val="yellow"/>
        </w:rPr>
        <w:t xml:space="preserve">Risk  </w:t>
      </w:r>
      <w:r w:rsidRPr="00064751">
        <w:rPr>
          <w:rStyle w:val="Emphasis"/>
          <w:color w:val="0000FF"/>
          <w:sz w:val="22"/>
          <w:szCs w:val="22"/>
          <w:highlight w:val="yellow"/>
        </w:rPr>
        <w:t>-</w:t>
      </w:r>
      <w:proofErr w:type="gramEnd"/>
      <w:r w:rsidR="00CD1A83">
        <w:rPr>
          <w:rStyle w:val="Emphasis"/>
          <w:color w:val="0000FF"/>
          <w:sz w:val="22"/>
          <w:szCs w:val="22"/>
          <w:highlight w:val="yellow"/>
        </w:rPr>
        <w:t xml:space="preserve"> OR </w:t>
      </w:r>
      <w:r w:rsidRPr="00064751">
        <w:rPr>
          <w:rStyle w:val="Emphasis"/>
          <w:color w:val="0000FF"/>
          <w:sz w:val="22"/>
          <w:szCs w:val="22"/>
          <w:highlight w:val="yellow"/>
        </w:rPr>
        <w:t>-</w:t>
      </w:r>
    </w:p>
    <w:p w14:paraId="03F2A6FA" w14:textId="6407515A" w:rsidR="00681F58" w:rsidRPr="00064751" w:rsidRDefault="00EA78A5" w:rsidP="00CD1A83">
      <w:pPr>
        <w:spacing w:line="260" w:lineRule="atLeast"/>
        <w:rPr>
          <w:rStyle w:val="Emphasis"/>
          <w:i w:val="0"/>
          <w:sz w:val="22"/>
          <w:szCs w:val="22"/>
          <w:highlight w:val="yellow"/>
        </w:rPr>
      </w:pPr>
      <w:r w:rsidRPr="00064751">
        <w:rPr>
          <w:rStyle w:val="Emphasis"/>
          <w:i w:val="0"/>
          <w:sz w:val="22"/>
          <w:szCs w:val="22"/>
          <w:highlight w:val="yellow"/>
        </w:rPr>
        <w:t xml:space="preserve">A Gateway 3 (Investment Decision) </w:t>
      </w:r>
      <w:r w:rsidR="00126197" w:rsidRPr="00064751">
        <w:rPr>
          <w:rStyle w:val="Emphasis"/>
          <w:i w:val="0"/>
          <w:sz w:val="22"/>
          <w:szCs w:val="22"/>
          <w:highlight w:val="yellow"/>
        </w:rPr>
        <w:t>(</w:t>
      </w:r>
      <w:r w:rsidR="00126197" w:rsidRPr="00064751">
        <w:rPr>
          <w:rStyle w:val="Emphasis"/>
          <w:iCs w:val="0"/>
          <w:color w:val="0000FF"/>
          <w:sz w:val="22"/>
          <w:szCs w:val="22"/>
          <w:highlight w:val="yellow"/>
        </w:rPr>
        <w:t xml:space="preserve">or </w:t>
      </w:r>
      <w:r w:rsidR="00885F89" w:rsidRPr="00064751">
        <w:rPr>
          <w:rStyle w:val="Emphasis"/>
          <w:iCs w:val="0"/>
          <w:color w:val="0000FF"/>
          <w:sz w:val="22"/>
          <w:szCs w:val="22"/>
          <w:highlight w:val="yellow"/>
        </w:rPr>
        <w:t>an</w:t>
      </w:r>
      <w:r w:rsidR="00126197" w:rsidRPr="00064751">
        <w:rPr>
          <w:rStyle w:val="Emphasis"/>
          <w:iCs w:val="0"/>
          <w:color w:val="0000FF"/>
          <w:sz w:val="22"/>
          <w:szCs w:val="22"/>
          <w:highlight w:val="yellow"/>
        </w:rPr>
        <w:t xml:space="preserve">other Gateway, </w:t>
      </w:r>
      <w:proofErr w:type="spellStart"/>
      <w:r w:rsidR="00126197" w:rsidRPr="00064751">
        <w:rPr>
          <w:rStyle w:val="Emphasis"/>
          <w:iCs w:val="0"/>
          <w:color w:val="0000FF"/>
          <w:sz w:val="22"/>
          <w:szCs w:val="22"/>
          <w:highlight w:val="yellow"/>
        </w:rPr>
        <w:t>eg</w:t>
      </w:r>
      <w:proofErr w:type="spellEnd"/>
      <w:r w:rsidR="00126197" w:rsidRPr="00064751">
        <w:rPr>
          <w:rStyle w:val="Emphasis"/>
          <w:iCs w:val="0"/>
          <w:color w:val="0000FF"/>
          <w:sz w:val="22"/>
          <w:szCs w:val="22"/>
          <w:highlight w:val="yellow"/>
        </w:rPr>
        <w:t>. Combined Gate 0/3</w:t>
      </w:r>
      <w:r w:rsidR="00885F89" w:rsidRPr="00064751">
        <w:rPr>
          <w:rStyle w:val="Emphasis"/>
          <w:iCs w:val="0"/>
          <w:color w:val="0000FF"/>
          <w:sz w:val="22"/>
          <w:szCs w:val="22"/>
          <w:highlight w:val="yellow"/>
        </w:rPr>
        <w:t>)</w:t>
      </w:r>
      <w:r w:rsidR="00126197" w:rsidRPr="00064751">
        <w:rPr>
          <w:rStyle w:val="Emphasis"/>
          <w:iCs w:val="0"/>
          <w:color w:val="0000FF"/>
          <w:sz w:val="22"/>
          <w:szCs w:val="22"/>
          <w:highlight w:val="yellow"/>
        </w:rPr>
        <w:t xml:space="preserve"> </w:t>
      </w:r>
      <w:r w:rsidR="00126197" w:rsidRPr="00064751">
        <w:rPr>
          <w:rStyle w:val="Emphasis"/>
          <w:i w:val="0"/>
          <w:color w:val="000000" w:themeColor="text1"/>
          <w:sz w:val="22"/>
          <w:szCs w:val="22"/>
          <w:highlight w:val="yellow"/>
        </w:rPr>
        <w:t>has been undertaken on this project/tranche in the context of the overall programme</w:t>
      </w:r>
      <w:r w:rsidR="00885F89" w:rsidRPr="00064751">
        <w:rPr>
          <w:rStyle w:val="Emphasis"/>
          <w:i w:val="0"/>
          <w:color w:val="000000" w:themeColor="text1"/>
          <w:sz w:val="22"/>
          <w:szCs w:val="22"/>
          <w:highlight w:val="yellow"/>
        </w:rPr>
        <w:t>/</w:t>
      </w:r>
      <w:r w:rsidRPr="00064751">
        <w:rPr>
          <w:rStyle w:val="Emphasis"/>
          <w:i w:val="0"/>
          <w:sz w:val="22"/>
          <w:szCs w:val="22"/>
          <w:highlight w:val="yellow"/>
        </w:rPr>
        <w:t>on the project as part of the development of this implementation business case.  The review recommendations have resulted in the following actions</w:t>
      </w:r>
      <w:r w:rsidR="00751EC7" w:rsidRPr="00064751">
        <w:rPr>
          <w:rStyle w:val="Emphasis"/>
          <w:i w:val="0"/>
          <w:sz w:val="22"/>
          <w:szCs w:val="22"/>
          <w:highlight w:val="yellow"/>
        </w:rPr>
        <w:t xml:space="preserve">: </w:t>
      </w:r>
    </w:p>
    <w:p w14:paraId="3A393573" w14:textId="101D5899" w:rsidR="00EA78A5" w:rsidRPr="00064751" w:rsidRDefault="00681F58" w:rsidP="00CD1A83">
      <w:pPr>
        <w:pStyle w:val="ListParagraph"/>
        <w:numPr>
          <w:ilvl w:val="0"/>
          <w:numId w:val="40"/>
        </w:numPr>
        <w:spacing w:line="260" w:lineRule="atLeast"/>
        <w:ind w:left="425" w:hanging="425"/>
        <w:rPr>
          <w:rStyle w:val="Emphasis"/>
          <w:i w:val="0"/>
          <w:sz w:val="22"/>
          <w:szCs w:val="22"/>
          <w:highlight w:val="yellow"/>
        </w:rPr>
      </w:pPr>
      <w:r w:rsidRPr="00064751">
        <w:rPr>
          <w:rStyle w:val="Emphasis"/>
          <w:color w:val="0000FF"/>
          <w:sz w:val="22"/>
          <w:szCs w:val="22"/>
          <w:highlight w:val="yellow"/>
        </w:rPr>
        <w:t>L</w:t>
      </w:r>
      <w:r w:rsidR="00751EC7" w:rsidRPr="00064751">
        <w:rPr>
          <w:rStyle w:val="Emphasis"/>
          <w:color w:val="0000FF"/>
          <w:sz w:val="22"/>
          <w:szCs w:val="22"/>
          <w:highlight w:val="yellow"/>
        </w:rPr>
        <w:t>ist</w:t>
      </w:r>
      <w:r w:rsidRPr="00064751">
        <w:rPr>
          <w:rStyle w:val="Emphasis"/>
          <w:color w:val="0000FF"/>
          <w:sz w:val="22"/>
          <w:szCs w:val="22"/>
          <w:highlight w:val="yellow"/>
        </w:rPr>
        <w:t>, or cut-and-paste from the Action Plan arising from the Gateway review</w:t>
      </w:r>
    </w:p>
    <w:p w14:paraId="3FC443E2" w14:textId="5EE81EFB" w:rsidR="00EA78A5" w:rsidRPr="00064751" w:rsidRDefault="00EA78A5" w:rsidP="00CD1A83">
      <w:pPr>
        <w:spacing w:line="260" w:lineRule="atLeast"/>
        <w:rPr>
          <w:rStyle w:val="Emphasis"/>
          <w:i w:val="0"/>
          <w:sz w:val="22"/>
          <w:szCs w:val="22"/>
        </w:rPr>
      </w:pPr>
      <w:r w:rsidRPr="00064751">
        <w:rPr>
          <w:rStyle w:val="Emphasis"/>
          <w:i w:val="0"/>
          <w:sz w:val="22"/>
          <w:szCs w:val="22"/>
          <w:highlight w:val="yellow"/>
        </w:rPr>
        <w:t xml:space="preserve">Gateway reviews </w:t>
      </w:r>
      <w:r w:rsidR="00681F58" w:rsidRPr="00064751">
        <w:rPr>
          <w:rStyle w:val="Emphasis"/>
          <w:i w:val="0"/>
          <w:sz w:val="22"/>
          <w:szCs w:val="22"/>
          <w:highlight w:val="yellow"/>
        </w:rPr>
        <w:t>will be carried out as required and agreed with Treasury’s Gateway Unit.</w:t>
      </w:r>
      <w:r w:rsidRPr="00064751">
        <w:rPr>
          <w:rStyle w:val="Emphasis"/>
          <w:i w:val="0"/>
          <w:sz w:val="22"/>
          <w:szCs w:val="22"/>
          <w:highlight w:val="yellow"/>
        </w:rPr>
        <w:t xml:space="preserve"> </w:t>
      </w:r>
    </w:p>
    <w:p w14:paraId="676D1D66" w14:textId="2460A37A" w:rsidR="00EA78A5" w:rsidRPr="00211397" w:rsidRDefault="00EA78A5" w:rsidP="00211397">
      <w:pPr>
        <w:pStyle w:val="Heading3"/>
        <w:rPr>
          <w:rStyle w:val="Emphasis"/>
          <w:i w:val="0"/>
          <w:iCs w:val="0"/>
          <w:color w:val="002469"/>
          <w:sz w:val="24"/>
        </w:rPr>
      </w:pPr>
      <w:r w:rsidRPr="00211397">
        <w:rPr>
          <w:rStyle w:val="Emphasis"/>
          <w:i w:val="0"/>
          <w:iCs w:val="0"/>
          <w:color w:val="002469"/>
          <w:sz w:val="24"/>
        </w:rPr>
        <w:t xml:space="preserve">Post-project </w:t>
      </w:r>
      <w:r w:rsidR="00A62219" w:rsidRPr="00211397">
        <w:rPr>
          <w:rStyle w:val="Emphasis"/>
          <w:i w:val="0"/>
          <w:iCs w:val="0"/>
          <w:color w:val="002469"/>
          <w:sz w:val="24"/>
        </w:rPr>
        <w:t>r</w:t>
      </w:r>
      <w:r w:rsidRPr="00211397">
        <w:rPr>
          <w:rStyle w:val="Emphasis"/>
          <w:i w:val="0"/>
          <w:iCs w:val="0"/>
          <w:color w:val="002469"/>
          <w:sz w:val="24"/>
        </w:rPr>
        <w:t>eview</w:t>
      </w:r>
      <w:r w:rsidR="00681F58" w:rsidRPr="00211397">
        <w:rPr>
          <w:rStyle w:val="Emphasis"/>
          <w:i w:val="0"/>
          <w:iCs w:val="0"/>
          <w:color w:val="002469"/>
          <w:sz w:val="24"/>
        </w:rPr>
        <w:t>s</w:t>
      </w:r>
    </w:p>
    <w:p w14:paraId="600DCC43" w14:textId="3C317D0E" w:rsidR="00EA78A5" w:rsidRPr="00EA78A5" w:rsidRDefault="00EA78A5" w:rsidP="00CD1A83">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spacing w:line="260" w:lineRule="atLeast"/>
        <w:rPr>
          <w:rStyle w:val="Emphasis"/>
        </w:rPr>
      </w:pPr>
      <w:r w:rsidRPr="00EA78A5">
        <w:rPr>
          <w:rStyle w:val="Emphasis"/>
        </w:rPr>
        <w:t>A post</w:t>
      </w:r>
      <w:r w:rsidR="00A62219">
        <w:rPr>
          <w:rStyle w:val="Emphasis"/>
        </w:rPr>
        <w:t>-project evaluation, or</w:t>
      </w:r>
      <w:r w:rsidRPr="00EA78A5">
        <w:rPr>
          <w:rStyle w:val="Emphasis"/>
        </w:rPr>
        <w:t xml:space="preserve"> implementation review</w:t>
      </w:r>
      <w:r w:rsidR="00A62219">
        <w:rPr>
          <w:rStyle w:val="Emphasis"/>
        </w:rPr>
        <w:t>,</w:t>
      </w:r>
      <w:r w:rsidRPr="00EA78A5">
        <w:rPr>
          <w:rStyle w:val="Emphasis"/>
        </w:rPr>
        <w:t xml:space="preserve"> evaluates the project from business case development to delivery. </w:t>
      </w:r>
      <w:r w:rsidR="005E54F8">
        <w:rPr>
          <w:rStyle w:val="Emphasis"/>
        </w:rPr>
        <w:t xml:space="preserve"> </w:t>
      </w:r>
      <w:r w:rsidRPr="00EA78A5">
        <w:rPr>
          <w:rStyle w:val="Emphasis"/>
        </w:rPr>
        <w:t xml:space="preserve">This is typically undertaken within the first six months after delivery, to confirm that the new </w:t>
      </w:r>
      <w:r w:rsidR="005E54F8">
        <w:rPr>
          <w:rStyle w:val="Emphasis"/>
        </w:rPr>
        <w:t>system/</w:t>
      </w:r>
      <w:r w:rsidRPr="00EA78A5">
        <w:rPr>
          <w:rStyle w:val="Emphasis"/>
        </w:rPr>
        <w:t xml:space="preserve">facilities are operating as intended and delivering the services proposed in the business case. </w:t>
      </w:r>
    </w:p>
    <w:p w14:paraId="319AD1DC" w14:textId="2D2E4118" w:rsidR="00A62219" w:rsidRDefault="00681F58" w:rsidP="00CD1A83">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spacing w:line="260" w:lineRule="atLeast"/>
        <w:rPr>
          <w:rStyle w:val="Emphasis"/>
        </w:rPr>
      </w:pPr>
      <w:r w:rsidRPr="00126197">
        <w:rPr>
          <w:rStyle w:val="Emphasis"/>
          <w:b/>
          <w:bCs/>
        </w:rPr>
        <w:lastRenderedPageBreak/>
        <w:t>For any Cabinet-approved investment,</w:t>
      </w:r>
      <w:r w:rsidR="00A62219">
        <w:rPr>
          <w:rStyle w:val="Emphasis"/>
        </w:rPr>
        <w:t xml:space="preserve"> </w:t>
      </w:r>
      <w:r w:rsidR="00A62219" w:rsidRPr="00A62219">
        <w:rPr>
          <w:rStyle w:val="Emphasis"/>
        </w:rPr>
        <w:t xml:space="preserve">this project </w:t>
      </w:r>
      <w:r w:rsidR="00A62219">
        <w:rPr>
          <w:rStyle w:val="Emphasis"/>
        </w:rPr>
        <w:t>must</w:t>
      </w:r>
      <w:r w:rsidR="00A62219" w:rsidRPr="00A62219">
        <w:rPr>
          <w:rStyle w:val="Emphasis"/>
        </w:rPr>
        <w:t xml:space="preserve"> report back to Cabinet within 12 months of the in-service date on the actual level of benefits achieved compared with those outlined in the Cabinet-approved investment</w:t>
      </w:r>
      <w:r w:rsidR="00A62219">
        <w:rPr>
          <w:rStyle w:val="Emphasis"/>
        </w:rPr>
        <w:t>.</w:t>
      </w:r>
    </w:p>
    <w:p w14:paraId="0C6209FF" w14:textId="4190CCDF" w:rsidR="005E54F8" w:rsidRPr="00EA78A5" w:rsidRDefault="005E54F8" w:rsidP="00CD1A83">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spacing w:line="260" w:lineRule="atLeast"/>
        <w:rPr>
          <w:rStyle w:val="Emphasis"/>
        </w:rPr>
      </w:pPr>
      <w:r>
        <w:rPr>
          <w:rStyle w:val="Emphasis"/>
        </w:rPr>
        <w:t xml:space="preserve">If the project/tranche/programme </w:t>
      </w:r>
      <w:r w:rsidR="00126197">
        <w:rPr>
          <w:rStyle w:val="Emphasis"/>
        </w:rPr>
        <w:t>is assessed as High Risk,</w:t>
      </w:r>
      <w:r>
        <w:rPr>
          <w:rStyle w:val="Emphasis"/>
        </w:rPr>
        <w:t xml:space="preserve"> </w:t>
      </w:r>
      <w:r w:rsidR="00B0578D">
        <w:rPr>
          <w:rStyle w:val="Emphasis"/>
        </w:rPr>
        <w:t xml:space="preserve">it must undertake </w:t>
      </w:r>
      <w:r w:rsidRPr="00B0578D">
        <w:rPr>
          <w:rStyle w:val="Emphasis"/>
          <w:u w:val="single"/>
        </w:rPr>
        <w:t>Gateway Reviews</w:t>
      </w:r>
      <w:r w:rsidR="00B0578D">
        <w:rPr>
          <w:rStyle w:val="Emphasis"/>
        </w:rPr>
        <w:t xml:space="preserve">. The project must also undertake Treasury </w:t>
      </w:r>
      <w:r w:rsidRPr="00B0578D">
        <w:rPr>
          <w:rStyle w:val="Emphasis"/>
          <w:u w:val="single"/>
        </w:rPr>
        <w:t>Operations and Benefits Realisation</w:t>
      </w:r>
      <w:r w:rsidRPr="00EA78A5">
        <w:rPr>
          <w:rStyle w:val="Emphasis"/>
        </w:rPr>
        <w:t xml:space="preserve"> review</w:t>
      </w:r>
      <w:r w:rsidR="00681F58">
        <w:rPr>
          <w:rStyle w:val="Emphasis"/>
        </w:rPr>
        <w:t xml:space="preserve">s; the first should occur in time to inform the </w:t>
      </w:r>
      <w:r w:rsidR="00B0578D">
        <w:rPr>
          <w:rStyle w:val="Emphasis"/>
        </w:rPr>
        <w:t xml:space="preserve">mandated </w:t>
      </w:r>
      <w:r w:rsidR="00681F58">
        <w:rPr>
          <w:rStyle w:val="Emphasis"/>
        </w:rPr>
        <w:t>benefits report-back to Cabinet</w:t>
      </w:r>
      <w:r w:rsidR="00751EC7">
        <w:rPr>
          <w:rStyle w:val="Emphasis"/>
        </w:rPr>
        <w:t>.</w:t>
      </w:r>
    </w:p>
    <w:p w14:paraId="0831B867" w14:textId="4DC57655" w:rsidR="00A62219" w:rsidRPr="00064751" w:rsidRDefault="00A62219" w:rsidP="00CD1A83">
      <w:pPr>
        <w:spacing w:line="260" w:lineRule="atLeast"/>
        <w:rPr>
          <w:rStyle w:val="Emphasis"/>
          <w:i w:val="0"/>
          <w:sz w:val="22"/>
          <w:szCs w:val="22"/>
        </w:rPr>
      </w:pPr>
      <w:r w:rsidRPr="00064751">
        <w:rPr>
          <w:rStyle w:val="Emphasis"/>
          <w:i w:val="0"/>
          <w:sz w:val="22"/>
          <w:szCs w:val="22"/>
        </w:rPr>
        <w:t xml:space="preserve">A post implementation review is planned </w:t>
      </w:r>
      <w:r w:rsidR="0003530F" w:rsidRPr="00064751">
        <w:rPr>
          <w:rStyle w:val="Emphasis"/>
          <w:i w:val="0"/>
          <w:sz w:val="22"/>
          <w:szCs w:val="22"/>
        </w:rPr>
        <w:t xml:space="preserve">for </w:t>
      </w:r>
      <w:r w:rsidRPr="00064751">
        <w:rPr>
          <w:rStyle w:val="Emphasis"/>
          <w:i w:val="0"/>
          <w:sz w:val="22"/>
          <w:szCs w:val="22"/>
          <w:highlight w:val="yellow"/>
        </w:rPr>
        <w:t>[</w:t>
      </w:r>
      <w:proofErr w:type="spellStart"/>
      <w:r w:rsidR="0003530F" w:rsidRPr="00064751">
        <w:rPr>
          <w:rStyle w:val="Emphasis"/>
          <w:i w:val="0"/>
          <w:sz w:val="22"/>
          <w:szCs w:val="22"/>
          <w:highlight w:val="yellow"/>
        </w:rPr>
        <w:t>M</w:t>
      </w:r>
      <w:r w:rsidRPr="00064751">
        <w:rPr>
          <w:rStyle w:val="Emphasis"/>
          <w:i w:val="0"/>
          <w:sz w:val="22"/>
          <w:szCs w:val="22"/>
          <w:highlight w:val="yellow"/>
        </w:rPr>
        <w:t>mm</w:t>
      </w:r>
      <w:proofErr w:type="spellEnd"/>
      <w:r w:rsidRPr="00064751">
        <w:rPr>
          <w:rStyle w:val="Emphasis"/>
          <w:i w:val="0"/>
          <w:sz w:val="22"/>
          <w:szCs w:val="22"/>
          <w:highlight w:val="yellow"/>
        </w:rPr>
        <w:t xml:space="preserve"> </w:t>
      </w:r>
      <w:r w:rsidR="0003530F" w:rsidRPr="00064751">
        <w:rPr>
          <w:rStyle w:val="Emphasis"/>
          <w:i w:val="0"/>
          <w:sz w:val="22"/>
          <w:szCs w:val="22"/>
          <w:highlight w:val="yellow"/>
        </w:rPr>
        <w:t>20YY</w:t>
      </w:r>
      <w:r w:rsidRPr="00064751">
        <w:rPr>
          <w:rStyle w:val="Emphasis"/>
          <w:i w:val="0"/>
          <w:sz w:val="22"/>
          <w:szCs w:val="22"/>
          <w:highlight w:val="yellow"/>
        </w:rPr>
        <w:t>]</w:t>
      </w:r>
      <w:r w:rsidRPr="00064751">
        <w:rPr>
          <w:rStyle w:val="Emphasis"/>
          <w:i w:val="0"/>
          <w:sz w:val="22"/>
          <w:szCs w:val="22"/>
        </w:rPr>
        <w:t xml:space="preserve"> to confirm that the new system/facilities are operating as intended and delivering the services proposed in the business case, and to identify any lessons learned from the management of the project/tranche that can be applied to future projects or projects in other agencies.</w:t>
      </w:r>
    </w:p>
    <w:p w14:paraId="41F0F015" w14:textId="1AFBBCB8" w:rsidR="00681F58" w:rsidRPr="00064751" w:rsidRDefault="00681F58" w:rsidP="00CD1A83">
      <w:pPr>
        <w:spacing w:line="260" w:lineRule="atLeast"/>
        <w:rPr>
          <w:rStyle w:val="Emphasis"/>
          <w:i w:val="0"/>
          <w:sz w:val="22"/>
          <w:szCs w:val="22"/>
        </w:rPr>
      </w:pPr>
      <w:r w:rsidRPr="00064751">
        <w:rPr>
          <w:rStyle w:val="Emphasis"/>
          <w:i w:val="0"/>
          <w:sz w:val="22"/>
          <w:szCs w:val="22"/>
        </w:rPr>
        <w:t>As required by Cabinet Office Circular CO(19)6</w:t>
      </w:r>
      <w:r w:rsidR="00A62219" w:rsidRPr="00CD1A83">
        <w:rPr>
          <w:rStyle w:val="FootnoteReference"/>
          <w:iCs/>
          <w:sz w:val="22"/>
          <w:szCs w:val="22"/>
          <w:vertAlign w:val="superscript"/>
        </w:rPr>
        <w:footnoteReference w:id="8"/>
      </w:r>
      <w:r w:rsidRPr="00064751">
        <w:rPr>
          <w:rStyle w:val="Emphasis"/>
          <w:i w:val="0"/>
          <w:sz w:val="22"/>
          <w:szCs w:val="22"/>
        </w:rPr>
        <w:t>, this project will report back to Cabinet within 12 months of the in-service date on the actual level of benefits achieved compared with those outlined in the Cabinet-approved investment</w:t>
      </w:r>
      <w:r w:rsidR="00A62219" w:rsidRPr="00064751">
        <w:rPr>
          <w:rStyle w:val="Emphasis"/>
          <w:i w:val="0"/>
          <w:sz w:val="22"/>
          <w:szCs w:val="22"/>
        </w:rPr>
        <w:t>.</w:t>
      </w:r>
    </w:p>
    <w:p w14:paraId="5F42D6AB" w14:textId="16F39DDC" w:rsidR="00EA78A5" w:rsidRPr="00064751" w:rsidRDefault="00681F58" w:rsidP="00CD1A83">
      <w:pPr>
        <w:spacing w:line="260" w:lineRule="atLeast"/>
        <w:rPr>
          <w:rStyle w:val="Emphasis"/>
          <w:i w:val="0"/>
          <w:sz w:val="22"/>
          <w:szCs w:val="22"/>
        </w:rPr>
      </w:pPr>
      <w:r w:rsidRPr="00064751">
        <w:rPr>
          <w:rStyle w:val="Emphasis"/>
          <w:i w:val="0"/>
          <w:sz w:val="22"/>
          <w:szCs w:val="22"/>
        </w:rPr>
        <w:t>A</w:t>
      </w:r>
      <w:r w:rsidR="00A62219" w:rsidRPr="00064751">
        <w:rPr>
          <w:rStyle w:val="Emphasis"/>
          <w:i w:val="0"/>
          <w:sz w:val="22"/>
          <w:szCs w:val="22"/>
        </w:rPr>
        <w:t xml:space="preserve"> Treasury </w:t>
      </w:r>
      <w:r w:rsidRPr="00064751">
        <w:rPr>
          <w:rStyle w:val="Emphasis"/>
          <w:i w:val="0"/>
          <w:sz w:val="22"/>
          <w:szCs w:val="22"/>
          <w:u w:val="single"/>
        </w:rPr>
        <w:t>Operations and Benefits Realisation Review</w:t>
      </w:r>
      <w:r w:rsidRPr="00064751">
        <w:rPr>
          <w:rStyle w:val="Emphasis"/>
          <w:i w:val="0"/>
          <w:sz w:val="22"/>
          <w:szCs w:val="22"/>
        </w:rPr>
        <w:t xml:space="preserve"> </w:t>
      </w:r>
      <w:r w:rsidR="006E7545" w:rsidRPr="00064751">
        <w:rPr>
          <w:rStyle w:val="Emphasis"/>
          <w:i w:val="0"/>
          <w:sz w:val="22"/>
          <w:szCs w:val="22"/>
        </w:rPr>
        <w:t>will be undertaken at agreed points</w:t>
      </w:r>
      <w:r w:rsidR="00A62219" w:rsidRPr="00064751">
        <w:rPr>
          <w:rStyle w:val="Emphasis"/>
          <w:i w:val="0"/>
          <w:sz w:val="22"/>
          <w:szCs w:val="22"/>
        </w:rPr>
        <w:t>; the initial review will be timed to inform the Benefits report-back to Cabinet.</w:t>
      </w:r>
      <w:r w:rsidR="00EA78A5" w:rsidRPr="00064751">
        <w:rPr>
          <w:rStyle w:val="Emphasis"/>
          <w:i w:val="0"/>
          <w:sz w:val="22"/>
          <w:szCs w:val="22"/>
        </w:rPr>
        <w:t xml:space="preserve"> </w:t>
      </w:r>
    </w:p>
    <w:p w14:paraId="22323710" w14:textId="77777777" w:rsidR="00EA78A5" w:rsidRDefault="00EA78A5" w:rsidP="00F63986"/>
    <w:p w14:paraId="7B772B96" w14:textId="3594B172" w:rsidR="003D3736" w:rsidRDefault="003D3736" w:rsidP="006E4FDB">
      <w:pPr>
        <w:pStyle w:val="Heading1"/>
      </w:pPr>
      <w:bookmarkStart w:id="91" w:name="_Toc50549001"/>
      <w:bookmarkStart w:id="92" w:name="_Toc380346065"/>
      <w:bookmarkStart w:id="93" w:name="_Toc381007699"/>
      <w:r w:rsidRPr="00D17BFC">
        <w:t>Annexes</w:t>
      </w:r>
      <w:bookmarkEnd w:id="91"/>
      <w:r w:rsidR="00A62219">
        <w:t xml:space="preserve"> </w:t>
      </w:r>
    </w:p>
    <w:p w14:paraId="246829AC" w14:textId="129FBD3D" w:rsidR="00A62219" w:rsidRPr="00A62219" w:rsidRDefault="00A62219" w:rsidP="00122AD6">
      <w:pPr>
        <w:spacing w:line="260" w:lineRule="atLeast"/>
        <w:rPr>
          <w:i/>
          <w:iCs/>
          <w:color w:val="0000FF"/>
        </w:rPr>
      </w:pPr>
      <w:r w:rsidRPr="00A62219">
        <w:rPr>
          <w:i/>
          <w:iCs/>
          <w:color w:val="0000FF"/>
        </w:rPr>
        <w:t>Delete this page</w:t>
      </w:r>
    </w:p>
    <w:p w14:paraId="0A3B4AD4" w14:textId="77777777" w:rsidR="003D3736" w:rsidRDefault="003D3736" w:rsidP="00211397">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spacing w:line="260" w:lineRule="atLeast"/>
        <w:rPr>
          <w:rStyle w:val="Emphasis"/>
        </w:rPr>
      </w:pPr>
      <w:r w:rsidRPr="00096E3C">
        <w:rPr>
          <w:rStyle w:val="Emphasis"/>
        </w:rPr>
        <w:t xml:space="preserve">Attach supporting </w:t>
      </w:r>
      <w:r w:rsidR="00725CE7">
        <w:rPr>
          <w:rStyle w:val="Emphasis"/>
        </w:rPr>
        <w:t>documents</w:t>
      </w:r>
      <w:r w:rsidR="00725CE7" w:rsidRPr="00096E3C">
        <w:rPr>
          <w:rStyle w:val="Emphasis"/>
        </w:rPr>
        <w:t xml:space="preserve"> </w:t>
      </w:r>
      <w:r w:rsidRPr="00096E3C">
        <w:rPr>
          <w:rStyle w:val="Emphasis"/>
        </w:rPr>
        <w:t xml:space="preserve">where </w:t>
      </w:r>
      <w:r w:rsidR="00A02974">
        <w:rPr>
          <w:rStyle w:val="Emphasis"/>
        </w:rPr>
        <w:t>applicable to support this</w:t>
      </w:r>
      <w:r w:rsidRPr="00096E3C">
        <w:rPr>
          <w:rStyle w:val="Emphasis"/>
        </w:rPr>
        <w:t xml:space="preserve"> Business Case </w:t>
      </w:r>
      <w:r w:rsidR="00096E3C">
        <w:rPr>
          <w:rStyle w:val="Emphasis"/>
        </w:rPr>
        <w:t>(</w:t>
      </w:r>
      <w:r w:rsidR="00A02974">
        <w:rPr>
          <w:rStyle w:val="Emphasis"/>
        </w:rPr>
        <w:t>some of the following documents</w:t>
      </w:r>
      <w:r w:rsidR="009A0426">
        <w:rPr>
          <w:rStyle w:val="Emphasis"/>
        </w:rPr>
        <w:t xml:space="preserve"> may not all be required, and other documents may be more appropriate</w:t>
      </w:r>
      <w:r w:rsidR="00096E3C">
        <w:rPr>
          <w:rStyle w:val="Emphasis"/>
        </w:rPr>
        <w:t>)</w:t>
      </w:r>
      <w:r w:rsidR="00096E3C" w:rsidRPr="00096E3C">
        <w:rPr>
          <w:rStyle w:val="Emphasis"/>
        </w:rPr>
        <w:t>. Where the annex is</w:t>
      </w:r>
      <w:r w:rsidR="00096E3C">
        <w:rPr>
          <w:rStyle w:val="Emphasis"/>
        </w:rPr>
        <w:t xml:space="preserve"> an</w:t>
      </w:r>
      <w:r w:rsidR="00096E3C" w:rsidRPr="00096E3C">
        <w:rPr>
          <w:rStyle w:val="Emphasis"/>
        </w:rPr>
        <w:t xml:space="preserve"> extract </w:t>
      </w:r>
      <w:r w:rsidR="00096E3C">
        <w:rPr>
          <w:rStyle w:val="Emphasis"/>
        </w:rPr>
        <w:t>(</w:t>
      </w:r>
      <w:proofErr w:type="spellStart"/>
      <w:r w:rsidR="00096E3C">
        <w:rPr>
          <w:rStyle w:val="Emphasis"/>
        </w:rPr>
        <w:t>eg</w:t>
      </w:r>
      <w:proofErr w:type="spellEnd"/>
      <w:r w:rsidR="00096E3C">
        <w:rPr>
          <w:rStyle w:val="Emphasis"/>
        </w:rPr>
        <w:t xml:space="preserve"> risk register) </w:t>
      </w:r>
      <w:r w:rsidR="00096E3C" w:rsidRPr="00096E3C">
        <w:rPr>
          <w:rStyle w:val="Emphasis"/>
        </w:rPr>
        <w:t>or summar</w:t>
      </w:r>
      <w:r w:rsidR="00096E3C">
        <w:rPr>
          <w:rStyle w:val="Emphasis"/>
        </w:rPr>
        <w:t>y</w:t>
      </w:r>
      <w:r w:rsidR="00096E3C" w:rsidRPr="00096E3C">
        <w:rPr>
          <w:rStyle w:val="Emphasis"/>
        </w:rPr>
        <w:t xml:space="preserve">, </w:t>
      </w:r>
      <w:r w:rsidR="00751EC7">
        <w:rPr>
          <w:rStyle w:val="Emphasis"/>
        </w:rPr>
        <w:t>record</w:t>
      </w:r>
      <w:r w:rsidR="00096E3C" w:rsidRPr="00096E3C">
        <w:rPr>
          <w:rStyle w:val="Emphasis"/>
        </w:rPr>
        <w:t xml:space="preserve"> that the full version is available on request.</w:t>
      </w:r>
    </w:p>
    <w:p w14:paraId="1FB24D3B" w14:textId="77777777" w:rsidR="007D2D83" w:rsidRPr="00096E3C" w:rsidRDefault="007D2D83" w:rsidP="00211397">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spacing w:line="260" w:lineRule="atLeast"/>
        <w:rPr>
          <w:rStyle w:val="Emphasis"/>
        </w:rPr>
      </w:pPr>
      <w:r>
        <w:rPr>
          <w:rStyle w:val="Emphasis"/>
        </w:rPr>
        <w:t>Note that many of these are living documents. Attach the current/latest version.</w:t>
      </w:r>
    </w:p>
    <w:p w14:paraId="20FF6929" w14:textId="61BD6911" w:rsidR="00F73196" w:rsidRPr="006E4FDB" w:rsidRDefault="00F73196" w:rsidP="006E4FDB">
      <w:pPr>
        <w:pStyle w:val="Heading1"/>
        <w:rPr>
          <w:rStyle w:val="Emphasis"/>
          <w:i w:val="0"/>
          <w:iCs w:val="0"/>
          <w:color w:val="002469"/>
          <w:sz w:val="36"/>
        </w:rPr>
      </w:pPr>
      <w:bookmarkStart w:id="94" w:name="_Annex_1:_Commissioner’s"/>
      <w:bookmarkStart w:id="95" w:name="_Annex_1:_Commissioner(’s’s)"/>
      <w:bookmarkStart w:id="96" w:name="_Toc50549002"/>
      <w:bookmarkEnd w:id="94"/>
      <w:bookmarkEnd w:id="95"/>
      <w:r w:rsidRPr="006E4FDB">
        <w:rPr>
          <w:rStyle w:val="Emphasis"/>
          <w:i w:val="0"/>
          <w:iCs w:val="0"/>
          <w:color w:val="002469"/>
          <w:sz w:val="36"/>
        </w:rPr>
        <w:t xml:space="preserve">Annex </w:t>
      </w:r>
      <w:r w:rsidR="00897B0C" w:rsidRPr="006E4FDB">
        <w:rPr>
          <w:rStyle w:val="Emphasis"/>
          <w:i w:val="0"/>
          <w:iCs w:val="0"/>
          <w:color w:val="002469"/>
          <w:sz w:val="36"/>
        </w:rPr>
        <w:t>1</w:t>
      </w:r>
      <w:r w:rsidRPr="006E4FDB">
        <w:rPr>
          <w:rStyle w:val="Emphasis"/>
          <w:i w:val="0"/>
          <w:iCs w:val="0"/>
          <w:color w:val="002469"/>
          <w:sz w:val="36"/>
        </w:rPr>
        <w:t xml:space="preserve">: </w:t>
      </w:r>
      <w:proofErr w:type="gramStart"/>
      <w:r w:rsidRPr="006E4FDB">
        <w:rPr>
          <w:rStyle w:val="Emphasis"/>
          <w:i w:val="0"/>
          <w:iCs w:val="0"/>
          <w:color w:val="002469"/>
          <w:sz w:val="36"/>
        </w:rPr>
        <w:t>Commissioner</w:t>
      </w:r>
      <w:r w:rsidR="00083950" w:rsidRPr="006E4FDB">
        <w:rPr>
          <w:rStyle w:val="Emphasis"/>
          <w:i w:val="0"/>
          <w:iCs w:val="0"/>
          <w:color w:val="002469"/>
          <w:sz w:val="36"/>
        </w:rPr>
        <w:t>(</w:t>
      </w:r>
      <w:proofErr w:type="gramEnd"/>
      <w:r w:rsidR="00083950" w:rsidRPr="006E4FDB">
        <w:rPr>
          <w:rStyle w:val="Emphasis"/>
          <w:i w:val="0"/>
          <w:iCs w:val="0"/>
          <w:color w:val="002469"/>
          <w:sz w:val="36"/>
          <w:highlight w:val="yellow"/>
        </w:rPr>
        <w:t>’s</w:t>
      </w:r>
      <w:r w:rsidR="00B0578D" w:rsidRPr="006E4FDB">
        <w:rPr>
          <w:rStyle w:val="Emphasis"/>
          <w:i w:val="0"/>
          <w:iCs w:val="0"/>
          <w:color w:val="002469"/>
          <w:sz w:val="36"/>
          <w:highlight w:val="yellow"/>
        </w:rPr>
        <w:t>/</w:t>
      </w:r>
      <w:r w:rsidR="00803264" w:rsidRPr="006E4FDB">
        <w:rPr>
          <w:rStyle w:val="Emphasis"/>
          <w:i w:val="0"/>
          <w:iCs w:val="0"/>
          <w:color w:val="002469"/>
          <w:sz w:val="36"/>
          <w:highlight w:val="yellow"/>
        </w:rPr>
        <w:t>s</w:t>
      </w:r>
      <w:r w:rsidR="00B0578D" w:rsidRPr="006E4FDB">
        <w:rPr>
          <w:rStyle w:val="Emphasis"/>
          <w:i w:val="0"/>
          <w:iCs w:val="0"/>
          <w:color w:val="002469"/>
          <w:sz w:val="36"/>
          <w:highlight w:val="yellow"/>
        </w:rPr>
        <w:t>’</w:t>
      </w:r>
      <w:r w:rsidR="00083950" w:rsidRPr="006E4FDB">
        <w:rPr>
          <w:rStyle w:val="Emphasis"/>
          <w:i w:val="0"/>
          <w:iCs w:val="0"/>
          <w:color w:val="002469"/>
          <w:sz w:val="36"/>
        </w:rPr>
        <w:t>)</w:t>
      </w:r>
      <w:r w:rsidRPr="006E4FDB">
        <w:rPr>
          <w:rStyle w:val="Emphasis"/>
          <w:i w:val="0"/>
          <w:iCs w:val="0"/>
          <w:color w:val="002469"/>
          <w:sz w:val="36"/>
        </w:rPr>
        <w:t xml:space="preserve"> Letter</w:t>
      </w:r>
      <w:bookmarkEnd w:id="92"/>
      <w:bookmarkEnd w:id="93"/>
      <w:bookmarkEnd w:id="96"/>
    </w:p>
    <w:p w14:paraId="0171FC2D" w14:textId="6694C539" w:rsidR="00F73196" w:rsidRPr="00301976" w:rsidRDefault="00F73196" w:rsidP="00211397">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rPr>
          <w:rStyle w:val="Emphasis"/>
        </w:rPr>
      </w:pPr>
      <w:r w:rsidRPr="00310998">
        <w:rPr>
          <w:rStyle w:val="Emphasis"/>
        </w:rPr>
        <w:t>This template is the basis for developing the letter for a Government department</w:t>
      </w:r>
      <w:r w:rsidR="00B0578D">
        <w:rPr>
          <w:rStyle w:val="Emphasis"/>
        </w:rPr>
        <w:t xml:space="preserve">, normally from the Chief Executive (or Chief Executives, for a multi-agency project or programme); </w:t>
      </w:r>
      <w:r w:rsidR="00BD3480">
        <w:rPr>
          <w:rStyle w:val="Emphasis"/>
        </w:rPr>
        <w:t xml:space="preserve">customise and individualise it </w:t>
      </w:r>
      <w:r w:rsidR="00310998">
        <w:rPr>
          <w:rStyle w:val="Emphasis"/>
        </w:rPr>
        <w:t xml:space="preserve">as needed to meet </w:t>
      </w:r>
      <w:r w:rsidRPr="00310998">
        <w:rPr>
          <w:rStyle w:val="Emphasis"/>
        </w:rPr>
        <w:t>requirements to address proposal-specific issues</w:t>
      </w:r>
      <w:r w:rsidR="003F7F97">
        <w:rPr>
          <w:rStyle w:val="Emphasis"/>
        </w:rPr>
        <w:t xml:space="preserve">. </w:t>
      </w:r>
      <w:r w:rsidRPr="00583469">
        <w:rPr>
          <w:rStyle w:val="Emphasis"/>
          <w:color w:val="0000FF"/>
        </w:rPr>
        <w:t xml:space="preserve"> </w:t>
      </w:r>
      <w:r w:rsidR="001E2877">
        <w:rPr>
          <w:rStyle w:val="Emphasis"/>
          <w:color w:val="0000FF"/>
        </w:rPr>
        <w:t xml:space="preserve">Do not change the six </w:t>
      </w:r>
      <w:r w:rsidR="00B0578D">
        <w:rPr>
          <w:rStyle w:val="Emphasis"/>
          <w:color w:val="0000FF"/>
        </w:rPr>
        <w:t xml:space="preserve">key </w:t>
      </w:r>
      <w:r w:rsidR="001E2877">
        <w:rPr>
          <w:rStyle w:val="Emphasis"/>
          <w:color w:val="0000FF"/>
        </w:rPr>
        <w:t>assurance statements.</w:t>
      </w:r>
    </w:p>
    <w:p w14:paraId="0CE3F942" w14:textId="77777777" w:rsidR="00F73196" w:rsidRPr="00211397" w:rsidRDefault="00F73196" w:rsidP="00122AD6">
      <w:pPr>
        <w:rPr>
          <w:rStyle w:val="Emphasis"/>
          <w:i w:val="0"/>
          <w:color w:val="auto"/>
          <w:sz w:val="22"/>
          <w:szCs w:val="22"/>
        </w:rPr>
      </w:pPr>
      <w:r w:rsidRPr="00211397">
        <w:rPr>
          <w:rStyle w:val="Emphasis"/>
          <w:i w:val="0"/>
          <w:color w:val="auto"/>
          <w:sz w:val="22"/>
          <w:szCs w:val="22"/>
          <w:highlight w:val="yellow"/>
        </w:rPr>
        <w:t>[</w:t>
      </w:r>
      <w:proofErr w:type="gramStart"/>
      <w:r w:rsidRPr="00211397">
        <w:rPr>
          <w:rStyle w:val="Emphasis"/>
          <w:i w:val="0"/>
          <w:color w:val="auto"/>
          <w:sz w:val="22"/>
          <w:szCs w:val="22"/>
          <w:highlight w:val="yellow"/>
        </w:rPr>
        <w:t>date</w:t>
      </w:r>
      <w:proofErr w:type="gramEnd"/>
      <w:r w:rsidRPr="00211397">
        <w:rPr>
          <w:rStyle w:val="Emphasis"/>
          <w:i w:val="0"/>
          <w:color w:val="auto"/>
          <w:sz w:val="22"/>
          <w:szCs w:val="22"/>
          <w:highlight w:val="yellow"/>
        </w:rPr>
        <w:t>]</w:t>
      </w:r>
    </w:p>
    <w:p w14:paraId="20DE0137" w14:textId="77777777" w:rsidR="00F73196" w:rsidRPr="00211397" w:rsidRDefault="00F73196" w:rsidP="00122AD6">
      <w:pPr>
        <w:rPr>
          <w:rStyle w:val="Emphasis"/>
          <w:i w:val="0"/>
          <w:color w:val="auto"/>
          <w:sz w:val="22"/>
          <w:szCs w:val="22"/>
        </w:rPr>
      </w:pPr>
    </w:p>
    <w:p w14:paraId="7FE16EB6" w14:textId="77777777" w:rsidR="00F73196" w:rsidRPr="00211397" w:rsidRDefault="00F73196" w:rsidP="00122AD6">
      <w:pPr>
        <w:shd w:val="clear" w:color="auto" w:fill="FFFF00"/>
        <w:rPr>
          <w:rStyle w:val="Emphasis"/>
          <w:i w:val="0"/>
          <w:color w:val="auto"/>
          <w:sz w:val="22"/>
          <w:szCs w:val="22"/>
        </w:rPr>
      </w:pPr>
      <w:r w:rsidRPr="00211397">
        <w:rPr>
          <w:rStyle w:val="Emphasis"/>
          <w:i w:val="0"/>
          <w:color w:val="auto"/>
          <w:sz w:val="22"/>
          <w:szCs w:val="22"/>
        </w:rPr>
        <w:t>[To whom it may concern]</w:t>
      </w:r>
    </w:p>
    <w:p w14:paraId="06612881" w14:textId="77777777" w:rsidR="00F73196" w:rsidRPr="00134666" w:rsidRDefault="00D6597B" w:rsidP="00122AD6">
      <w:pPr>
        <w:jc w:val="center"/>
        <w:rPr>
          <w:rStyle w:val="Emphasis"/>
          <w:b/>
          <w:i w:val="0"/>
          <w:color w:val="000000"/>
          <w:sz w:val="28"/>
          <w:szCs w:val="28"/>
        </w:rPr>
      </w:pPr>
      <w:bookmarkStart w:id="97" w:name="_Toc380346066"/>
      <w:bookmarkStart w:id="98" w:name="_Toc380346271"/>
      <w:bookmarkStart w:id="99" w:name="_Toc381007700"/>
      <w:r>
        <w:rPr>
          <w:rStyle w:val="Emphasis"/>
          <w:b/>
          <w:i w:val="0"/>
          <w:color w:val="000000"/>
          <w:sz w:val="28"/>
          <w:szCs w:val="28"/>
        </w:rPr>
        <w:t>Implementation</w:t>
      </w:r>
      <w:r w:rsidR="00F73196" w:rsidRPr="00134666">
        <w:rPr>
          <w:rStyle w:val="Emphasis"/>
          <w:b/>
          <w:i w:val="0"/>
          <w:color w:val="000000"/>
          <w:sz w:val="28"/>
          <w:szCs w:val="28"/>
        </w:rPr>
        <w:t xml:space="preserve"> Business Case</w:t>
      </w:r>
      <w:bookmarkEnd w:id="97"/>
      <w:bookmarkEnd w:id="98"/>
      <w:bookmarkEnd w:id="99"/>
    </w:p>
    <w:p w14:paraId="585B99C7" w14:textId="77777777" w:rsidR="00B864BD" w:rsidRPr="00211397" w:rsidRDefault="00D6597B" w:rsidP="00122AD6">
      <w:pPr>
        <w:rPr>
          <w:rStyle w:val="Emphasis"/>
          <w:i w:val="0"/>
          <w:color w:val="auto"/>
          <w:sz w:val="22"/>
          <w:szCs w:val="22"/>
        </w:rPr>
      </w:pPr>
      <w:r w:rsidRPr="00211397">
        <w:rPr>
          <w:rStyle w:val="Emphasis"/>
          <w:i w:val="0"/>
          <w:color w:val="auto"/>
          <w:sz w:val="22"/>
          <w:szCs w:val="22"/>
        </w:rPr>
        <w:t xml:space="preserve">This Implementation Business Case is a significant deliverable of a </w:t>
      </w:r>
      <w:r w:rsidR="00B864BD" w:rsidRPr="00211397">
        <w:rPr>
          <w:rStyle w:val="Emphasis"/>
          <w:i w:val="0"/>
          <w:color w:val="auto"/>
          <w:sz w:val="22"/>
          <w:szCs w:val="22"/>
        </w:rPr>
        <w:t>major strategic initiative</w:t>
      </w:r>
      <w:r w:rsidRPr="00211397">
        <w:rPr>
          <w:rStyle w:val="Emphasis"/>
          <w:i w:val="0"/>
          <w:color w:val="auto"/>
          <w:sz w:val="22"/>
          <w:szCs w:val="22"/>
        </w:rPr>
        <w:t xml:space="preserve"> by </w:t>
      </w:r>
      <w:r w:rsidR="007E6969" w:rsidRPr="00211397">
        <w:rPr>
          <w:rStyle w:val="Emphasis"/>
          <w:i w:val="0"/>
          <w:color w:val="auto"/>
          <w:sz w:val="22"/>
          <w:szCs w:val="22"/>
          <w:highlight w:val="yellow"/>
        </w:rPr>
        <w:t>&lt;Agency name(s)</w:t>
      </w:r>
      <w:r w:rsidR="00B864BD" w:rsidRPr="00211397">
        <w:rPr>
          <w:rStyle w:val="Emphasis"/>
          <w:i w:val="0"/>
          <w:color w:val="auto"/>
          <w:sz w:val="22"/>
          <w:szCs w:val="22"/>
          <w:highlight w:val="yellow"/>
        </w:rPr>
        <w:t>&gt;</w:t>
      </w:r>
      <w:r w:rsidR="00B864BD" w:rsidRPr="00211397">
        <w:rPr>
          <w:rStyle w:val="Emphasis"/>
          <w:i w:val="0"/>
          <w:color w:val="auto"/>
          <w:sz w:val="22"/>
          <w:szCs w:val="22"/>
        </w:rPr>
        <w:t xml:space="preserve">to meet future </w:t>
      </w:r>
      <w:r w:rsidR="00B864BD" w:rsidRPr="00211397">
        <w:rPr>
          <w:rStyle w:val="Emphasis"/>
          <w:i w:val="0"/>
          <w:color w:val="auto"/>
          <w:sz w:val="22"/>
          <w:szCs w:val="22"/>
          <w:highlight w:val="yellow"/>
        </w:rPr>
        <w:t>………… ……………</w:t>
      </w:r>
      <w:r w:rsidR="00B864BD" w:rsidRPr="00211397">
        <w:rPr>
          <w:rStyle w:val="Emphasis"/>
          <w:i w:val="0"/>
          <w:color w:val="auto"/>
          <w:sz w:val="22"/>
          <w:szCs w:val="22"/>
        </w:rPr>
        <w:t>. requirements for</w:t>
      </w:r>
      <w:r w:rsidR="00B864BD" w:rsidRPr="00211397">
        <w:rPr>
          <w:rStyle w:val="Emphasis"/>
          <w:i w:val="0"/>
          <w:color w:val="auto"/>
          <w:sz w:val="22"/>
          <w:szCs w:val="22"/>
          <w:highlight w:val="yellow"/>
        </w:rPr>
        <w:t>….</w:t>
      </w:r>
    </w:p>
    <w:p w14:paraId="4D275AFB" w14:textId="77777777" w:rsidR="00D6597B" w:rsidRPr="00CD1A83" w:rsidRDefault="00D6597B" w:rsidP="00122AD6">
      <w:pPr>
        <w:rPr>
          <w:rStyle w:val="Emphasis"/>
          <w:sz w:val="22"/>
          <w:szCs w:val="22"/>
        </w:rPr>
      </w:pPr>
      <w:r w:rsidRPr="00211397">
        <w:rPr>
          <w:rStyle w:val="Emphasis"/>
          <w:i w:val="0"/>
          <w:color w:val="auto"/>
          <w:sz w:val="22"/>
          <w:szCs w:val="22"/>
          <w:highlight w:val="yellow"/>
        </w:rPr>
        <w:t>I/We</w:t>
      </w:r>
      <w:r w:rsidRPr="00211397">
        <w:rPr>
          <w:rStyle w:val="Emphasis"/>
          <w:i w:val="0"/>
          <w:color w:val="auto"/>
          <w:sz w:val="22"/>
          <w:szCs w:val="22"/>
        </w:rPr>
        <w:t xml:space="preserve"> confirm that:</w:t>
      </w:r>
      <w:r w:rsidR="001E2877" w:rsidRPr="00211397">
        <w:rPr>
          <w:rStyle w:val="Emphasis"/>
          <w:i w:val="0"/>
          <w:color w:val="auto"/>
          <w:sz w:val="22"/>
          <w:szCs w:val="22"/>
        </w:rPr>
        <w:t xml:space="preserve"> </w:t>
      </w:r>
      <w:r w:rsidR="001E2877" w:rsidRPr="00211397">
        <w:rPr>
          <w:rStyle w:val="Emphasis"/>
          <w:color w:val="auto"/>
          <w:sz w:val="22"/>
          <w:szCs w:val="22"/>
        </w:rPr>
        <w:t xml:space="preserve"> </w:t>
      </w:r>
      <w:r w:rsidR="001E2877" w:rsidRPr="00CD1A83">
        <w:rPr>
          <w:rStyle w:val="Emphasis"/>
          <w:color w:val="0000CC"/>
          <w:sz w:val="22"/>
          <w:szCs w:val="22"/>
        </w:rPr>
        <w:t>Do not change these statements</w:t>
      </w:r>
    </w:p>
    <w:p w14:paraId="79DA3A67" w14:textId="77777777" w:rsidR="00D6597B" w:rsidRPr="00211397" w:rsidRDefault="007E6969" w:rsidP="00122AD6">
      <w:pPr>
        <w:pStyle w:val="ListParagraph"/>
        <w:numPr>
          <w:ilvl w:val="0"/>
          <w:numId w:val="33"/>
        </w:numPr>
        <w:ind w:left="567" w:hanging="425"/>
        <w:rPr>
          <w:rStyle w:val="Emphasis"/>
          <w:i w:val="0"/>
          <w:color w:val="auto"/>
          <w:sz w:val="22"/>
          <w:szCs w:val="22"/>
        </w:rPr>
      </w:pPr>
      <w:r w:rsidRPr="00211397">
        <w:rPr>
          <w:rStyle w:val="Emphasis"/>
          <w:i w:val="0"/>
          <w:color w:val="auto"/>
          <w:sz w:val="22"/>
          <w:szCs w:val="22"/>
          <w:highlight w:val="yellow"/>
        </w:rPr>
        <w:t>I/We</w:t>
      </w:r>
      <w:r w:rsidR="00D6597B" w:rsidRPr="00211397">
        <w:rPr>
          <w:rStyle w:val="Emphasis"/>
          <w:i w:val="0"/>
          <w:color w:val="auto"/>
          <w:sz w:val="22"/>
          <w:szCs w:val="22"/>
        </w:rPr>
        <w:t xml:space="preserve"> have been actively involved in the development of the attached investment proposal through its various stages</w:t>
      </w:r>
    </w:p>
    <w:p w14:paraId="43FF7ED9" w14:textId="77777777" w:rsidR="00D6597B" w:rsidRPr="00211397" w:rsidRDefault="007E6969" w:rsidP="00122AD6">
      <w:pPr>
        <w:pStyle w:val="ListParagraph"/>
        <w:numPr>
          <w:ilvl w:val="0"/>
          <w:numId w:val="33"/>
        </w:numPr>
        <w:ind w:left="567" w:hanging="425"/>
        <w:rPr>
          <w:rStyle w:val="Emphasis"/>
          <w:i w:val="0"/>
          <w:color w:val="auto"/>
          <w:sz w:val="22"/>
          <w:szCs w:val="22"/>
        </w:rPr>
      </w:pPr>
      <w:r w:rsidRPr="00211397">
        <w:rPr>
          <w:rStyle w:val="Emphasis"/>
          <w:i w:val="0"/>
          <w:color w:val="auto"/>
          <w:sz w:val="22"/>
          <w:szCs w:val="22"/>
          <w:highlight w:val="yellow"/>
        </w:rPr>
        <w:t>I/We</w:t>
      </w:r>
      <w:r w:rsidR="00D6597B" w:rsidRPr="00211397">
        <w:rPr>
          <w:rStyle w:val="Emphasis"/>
          <w:i w:val="0"/>
          <w:color w:val="auto"/>
          <w:sz w:val="22"/>
          <w:szCs w:val="22"/>
        </w:rPr>
        <w:t xml:space="preserve"> accept the strategic aims and investment objectives of the investment proposal, its functional content, size and services</w:t>
      </w:r>
    </w:p>
    <w:p w14:paraId="3BB2275E" w14:textId="77777777" w:rsidR="00D6597B" w:rsidRPr="00211397" w:rsidRDefault="00D6597B" w:rsidP="00122AD6">
      <w:pPr>
        <w:pStyle w:val="ListParagraph"/>
        <w:numPr>
          <w:ilvl w:val="0"/>
          <w:numId w:val="33"/>
        </w:numPr>
        <w:ind w:left="567" w:hanging="425"/>
        <w:rPr>
          <w:rStyle w:val="Emphasis"/>
          <w:i w:val="0"/>
          <w:color w:val="auto"/>
          <w:sz w:val="22"/>
          <w:szCs w:val="22"/>
        </w:rPr>
      </w:pPr>
      <w:r w:rsidRPr="00211397">
        <w:rPr>
          <w:rStyle w:val="Emphasis"/>
          <w:i w:val="0"/>
          <w:color w:val="auto"/>
          <w:sz w:val="22"/>
          <w:szCs w:val="22"/>
        </w:rPr>
        <w:t>the financial costs of the proposal can be contained within the agreed and available budget</w:t>
      </w:r>
    </w:p>
    <w:p w14:paraId="3C9D2780" w14:textId="77777777" w:rsidR="00B864BD" w:rsidRPr="00211397" w:rsidRDefault="00D6597B" w:rsidP="00122AD6">
      <w:pPr>
        <w:pStyle w:val="ListParagraph"/>
        <w:numPr>
          <w:ilvl w:val="0"/>
          <w:numId w:val="33"/>
        </w:numPr>
        <w:ind w:left="567" w:hanging="425"/>
        <w:rPr>
          <w:rStyle w:val="Emphasis"/>
          <w:i w:val="0"/>
          <w:color w:val="auto"/>
          <w:sz w:val="22"/>
          <w:szCs w:val="22"/>
        </w:rPr>
      </w:pPr>
      <w:r w:rsidRPr="00211397">
        <w:rPr>
          <w:rStyle w:val="Emphasis"/>
          <w:i w:val="0"/>
          <w:color w:val="auto"/>
          <w:sz w:val="22"/>
          <w:szCs w:val="22"/>
        </w:rPr>
        <w:t>the organisation has the ability to pay for the services at the specified price level</w:t>
      </w:r>
    </w:p>
    <w:p w14:paraId="740137FB" w14:textId="43B3D474" w:rsidR="00D6597B" w:rsidRPr="00211397" w:rsidRDefault="00B864BD" w:rsidP="00122AD6">
      <w:pPr>
        <w:pStyle w:val="ListParagraph"/>
        <w:numPr>
          <w:ilvl w:val="0"/>
          <w:numId w:val="33"/>
        </w:numPr>
        <w:ind w:left="567" w:hanging="425"/>
        <w:rPr>
          <w:rStyle w:val="Emphasis"/>
          <w:i w:val="0"/>
          <w:color w:val="auto"/>
          <w:sz w:val="22"/>
          <w:szCs w:val="22"/>
        </w:rPr>
      </w:pPr>
      <w:r w:rsidRPr="00211397">
        <w:rPr>
          <w:rStyle w:val="Emphasis"/>
          <w:i w:val="0"/>
          <w:color w:val="auto"/>
          <w:sz w:val="22"/>
          <w:szCs w:val="22"/>
        </w:rPr>
        <w:t>the agency has the capability and capacity to ensure successful delivery of the work</w:t>
      </w:r>
    </w:p>
    <w:p w14:paraId="6DCD9A42" w14:textId="77777777" w:rsidR="00D6597B" w:rsidRPr="00211397" w:rsidRDefault="00D6597B" w:rsidP="00122AD6">
      <w:pPr>
        <w:pStyle w:val="ListParagraph"/>
        <w:numPr>
          <w:ilvl w:val="0"/>
          <w:numId w:val="33"/>
        </w:numPr>
        <w:spacing w:after="240"/>
        <w:ind w:left="567" w:hanging="425"/>
        <w:rPr>
          <w:rStyle w:val="Emphasis"/>
          <w:i w:val="0"/>
          <w:color w:val="auto"/>
          <w:sz w:val="22"/>
          <w:szCs w:val="22"/>
        </w:rPr>
      </w:pPr>
      <w:proofErr w:type="gramStart"/>
      <w:r w:rsidRPr="00211397">
        <w:rPr>
          <w:rStyle w:val="Emphasis"/>
          <w:i w:val="0"/>
          <w:color w:val="auto"/>
          <w:sz w:val="22"/>
          <w:szCs w:val="22"/>
        </w:rPr>
        <w:t>suitable</w:t>
      </w:r>
      <w:proofErr w:type="gramEnd"/>
      <w:r w:rsidRPr="00211397">
        <w:rPr>
          <w:rStyle w:val="Emphasis"/>
          <w:i w:val="0"/>
          <w:color w:val="auto"/>
          <w:sz w:val="22"/>
          <w:szCs w:val="22"/>
        </w:rPr>
        <w:t xml:space="preserve"> contingency arrangements are in place to work with suppliers to address any current or unforeseen affordability pressures.</w:t>
      </w:r>
    </w:p>
    <w:p w14:paraId="03A3BC68" w14:textId="3D1F6B3E" w:rsidR="00D6597B" w:rsidRPr="00211397" w:rsidRDefault="00D6597B" w:rsidP="00122AD6">
      <w:pPr>
        <w:rPr>
          <w:rStyle w:val="Emphasis"/>
          <w:i w:val="0"/>
          <w:color w:val="auto"/>
          <w:sz w:val="22"/>
          <w:szCs w:val="22"/>
        </w:rPr>
      </w:pPr>
      <w:r w:rsidRPr="00211397">
        <w:rPr>
          <w:rStyle w:val="Emphasis"/>
          <w:i w:val="0"/>
          <w:color w:val="auto"/>
          <w:sz w:val="22"/>
          <w:szCs w:val="22"/>
        </w:rPr>
        <w:t xml:space="preserve">This letter fulfils the requirements of the current </w:t>
      </w:r>
      <w:r w:rsidR="007E6969" w:rsidRPr="00211397">
        <w:rPr>
          <w:rStyle w:val="Emphasis"/>
          <w:i w:val="0"/>
          <w:color w:val="auto"/>
          <w:sz w:val="22"/>
          <w:szCs w:val="22"/>
        </w:rPr>
        <w:t xml:space="preserve">Treasury </w:t>
      </w:r>
      <w:r w:rsidRPr="00211397">
        <w:rPr>
          <w:rStyle w:val="Emphasis"/>
          <w:i w:val="0"/>
          <w:color w:val="auto"/>
          <w:sz w:val="22"/>
          <w:szCs w:val="22"/>
        </w:rPr>
        <w:t xml:space="preserve">Better Business Cases guidance. Should either these requirements or the key assumptions on which this case is based change significantly, revalidation of this letter of support </w:t>
      </w:r>
      <w:r w:rsidR="002D5739" w:rsidRPr="00211397">
        <w:rPr>
          <w:rStyle w:val="Emphasis"/>
          <w:i w:val="0"/>
          <w:color w:val="auto"/>
          <w:sz w:val="22"/>
          <w:szCs w:val="22"/>
        </w:rPr>
        <w:t>will</w:t>
      </w:r>
      <w:r w:rsidRPr="00211397">
        <w:rPr>
          <w:rStyle w:val="Emphasis"/>
          <w:i w:val="0"/>
          <w:color w:val="auto"/>
          <w:sz w:val="22"/>
          <w:szCs w:val="22"/>
        </w:rPr>
        <w:t xml:space="preserve"> be sought.</w:t>
      </w:r>
    </w:p>
    <w:p w14:paraId="3B7FA0F2" w14:textId="77777777" w:rsidR="001078E0" w:rsidRPr="00211397" w:rsidRDefault="001078E0" w:rsidP="00122AD6">
      <w:pPr>
        <w:rPr>
          <w:rStyle w:val="Emphasis"/>
          <w:i w:val="0"/>
          <w:color w:val="auto"/>
          <w:sz w:val="22"/>
          <w:szCs w:val="22"/>
        </w:rPr>
      </w:pPr>
    </w:p>
    <w:p w14:paraId="2A4E427A" w14:textId="77777777" w:rsidR="00F73196" w:rsidRPr="00211397" w:rsidRDefault="001078E0" w:rsidP="00122AD6">
      <w:pPr>
        <w:rPr>
          <w:rStyle w:val="Emphasis"/>
          <w:i w:val="0"/>
          <w:color w:val="auto"/>
          <w:sz w:val="22"/>
          <w:szCs w:val="22"/>
        </w:rPr>
      </w:pPr>
      <w:r w:rsidRPr="00211397">
        <w:rPr>
          <w:rStyle w:val="Emphasis"/>
          <w:i w:val="0"/>
          <w:color w:val="auto"/>
          <w:sz w:val="22"/>
          <w:szCs w:val="22"/>
        </w:rPr>
        <w:t>Yours sincerely</w:t>
      </w:r>
    </w:p>
    <w:p w14:paraId="1758FEA4" w14:textId="77777777" w:rsidR="00F73196" w:rsidRPr="00211397" w:rsidRDefault="00F73196" w:rsidP="00122AD6">
      <w:pPr>
        <w:rPr>
          <w:rStyle w:val="Emphasis"/>
          <w:i w:val="0"/>
          <w:color w:val="auto"/>
          <w:sz w:val="22"/>
          <w:szCs w:val="22"/>
        </w:rPr>
      </w:pPr>
    </w:p>
    <w:p w14:paraId="4C2D9585" w14:textId="77777777" w:rsidR="00F73196" w:rsidRPr="00211397" w:rsidRDefault="003D3736" w:rsidP="00122AD6">
      <w:pPr>
        <w:rPr>
          <w:rStyle w:val="Emphasis"/>
          <w:color w:val="auto"/>
          <w:sz w:val="22"/>
          <w:szCs w:val="22"/>
        </w:rPr>
      </w:pPr>
      <w:r w:rsidRPr="00211397">
        <w:rPr>
          <w:rStyle w:val="Emphasis"/>
          <w:color w:val="auto"/>
          <w:sz w:val="22"/>
          <w:szCs w:val="22"/>
          <w:highlight w:val="yellow"/>
        </w:rPr>
        <w:t>&lt;</w:t>
      </w:r>
      <w:proofErr w:type="gramStart"/>
      <w:r w:rsidRPr="00211397">
        <w:rPr>
          <w:rStyle w:val="Emphasis"/>
          <w:color w:val="auto"/>
          <w:sz w:val="22"/>
          <w:szCs w:val="22"/>
          <w:highlight w:val="yellow"/>
        </w:rPr>
        <w:t>signature</w:t>
      </w:r>
      <w:r w:rsidR="00C719CB" w:rsidRPr="00211397">
        <w:rPr>
          <w:rStyle w:val="Emphasis"/>
          <w:color w:val="auto"/>
          <w:sz w:val="22"/>
          <w:szCs w:val="22"/>
          <w:highlight w:val="yellow"/>
        </w:rPr>
        <w:t>(s)</w:t>
      </w:r>
      <w:proofErr w:type="gramEnd"/>
      <w:r w:rsidRPr="00211397">
        <w:rPr>
          <w:rStyle w:val="Emphasis"/>
          <w:color w:val="auto"/>
          <w:sz w:val="22"/>
          <w:szCs w:val="22"/>
          <w:highlight w:val="yellow"/>
        </w:rPr>
        <w:t>&gt;</w:t>
      </w:r>
    </w:p>
    <w:p w14:paraId="0BCDF526" w14:textId="77777777" w:rsidR="00A61F25" w:rsidRPr="00211397" w:rsidRDefault="00C719CB" w:rsidP="00122AD6">
      <w:pPr>
        <w:rPr>
          <w:rStyle w:val="Emphasis"/>
          <w:color w:val="auto"/>
          <w:sz w:val="22"/>
          <w:szCs w:val="22"/>
          <w:highlight w:val="yellow"/>
        </w:rPr>
      </w:pPr>
      <w:r w:rsidRPr="00211397">
        <w:rPr>
          <w:rStyle w:val="Emphasis"/>
          <w:color w:val="auto"/>
          <w:sz w:val="22"/>
          <w:szCs w:val="22"/>
          <w:highlight w:val="yellow"/>
        </w:rPr>
        <w:t>Title(s)</w:t>
      </w:r>
    </w:p>
    <w:p w14:paraId="77426082" w14:textId="77777777" w:rsidR="00CD38D1" w:rsidRPr="006E4FDB" w:rsidRDefault="00CD38D1" w:rsidP="006E4FDB">
      <w:pPr>
        <w:pStyle w:val="Heading1"/>
        <w:rPr>
          <w:rStyle w:val="Emphasis"/>
          <w:i w:val="0"/>
          <w:iCs w:val="0"/>
          <w:color w:val="002469"/>
          <w:sz w:val="36"/>
        </w:rPr>
      </w:pPr>
      <w:bookmarkStart w:id="100" w:name="_Annex_2:_"/>
      <w:bookmarkStart w:id="101" w:name="_Toc50549003"/>
      <w:bookmarkEnd w:id="100"/>
      <w:r w:rsidRPr="006E4FDB">
        <w:rPr>
          <w:rStyle w:val="Emphasis"/>
          <w:i w:val="0"/>
          <w:iCs w:val="0"/>
          <w:color w:val="002469"/>
          <w:sz w:val="36"/>
        </w:rPr>
        <w:t>Annex 2:  Documents supporting this business case</w:t>
      </w:r>
      <w:bookmarkEnd w:id="101"/>
    </w:p>
    <w:p w14:paraId="29C1D1BD" w14:textId="77777777" w:rsidR="00E7356E" w:rsidRPr="00CD1A83" w:rsidRDefault="00671441" w:rsidP="006A024A">
      <w:pPr>
        <w:spacing w:after="80" w:line="260" w:lineRule="atLeast"/>
        <w:rPr>
          <w:szCs w:val="22"/>
        </w:rPr>
      </w:pPr>
      <w:r w:rsidRPr="00CD1A83">
        <w:rPr>
          <w:szCs w:val="22"/>
        </w:rPr>
        <w:t xml:space="preserve">The </w:t>
      </w:r>
      <w:r w:rsidR="00742A5B" w:rsidRPr="00CD1A83">
        <w:rPr>
          <w:szCs w:val="22"/>
        </w:rPr>
        <w:t xml:space="preserve">Senior Responsible Owner and </w:t>
      </w:r>
      <w:r w:rsidR="00742A5B" w:rsidRPr="00CD1A83">
        <w:rPr>
          <w:szCs w:val="22"/>
          <w:highlight w:val="yellow"/>
        </w:rPr>
        <w:t>Project Director</w:t>
      </w:r>
      <w:r w:rsidR="00742A5B" w:rsidRPr="00CD1A83">
        <w:rPr>
          <w:szCs w:val="22"/>
        </w:rPr>
        <w:t xml:space="preserve"> </w:t>
      </w:r>
      <w:proofErr w:type="gramStart"/>
      <w:r w:rsidRPr="00CD1A83">
        <w:rPr>
          <w:szCs w:val="22"/>
        </w:rPr>
        <w:t>agency</w:t>
      </w:r>
      <w:proofErr w:type="gramEnd"/>
      <w:r w:rsidRPr="00CD1A83">
        <w:rPr>
          <w:szCs w:val="22"/>
        </w:rPr>
        <w:t xml:space="preserve"> </w:t>
      </w:r>
      <w:r w:rsidR="00742A5B" w:rsidRPr="00CD1A83">
        <w:rPr>
          <w:szCs w:val="22"/>
        </w:rPr>
        <w:t>attest that</w:t>
      </w:r>
      <w:r w:rsidR="00E7356E" w:rsidRPr="00CD1A83">
        <w:rPr>
          <w:szCs w:val="22"/>
        </w:rPr>
        <w:t>:</w:t>
      </w:r>
    </w:p>
    <w:p w14:paraId="2228DE7F" w14:textId="38B9FEBB" w:rsidR="00E7356E" w:rsidRPr="00CD1A83" w:rsidRDefault="001334C1" w:rsidP="00CD1A83">
      <w:pPr>
        <w:pStyle w:val="ListParagraph"/>
        <w:numPr>
          <w:ilvl w:val="0"/>
          <w:numId w:val="40"/>
        </w:numPr>
        <w:spacing w:after="80" w:line="260" w:lineRule="atLeast"/>
        <w:ind w:left="425" w:hanging="425"/>
        <w:rPr>
          <w:szCs w:val="22"/>
        </w:rPr>
      </w:pPr>
      <w:r w:rsidRPr="00CD1A83">
        <w:rPr>
          <w:szCs w:val="22"/>
        </w:rPr>
        <w:t>T</w:t>
      </w:r>
      <w:r w:rsidR="00742A5B" w:rsidRPr="00CD1A83">
        <w:rPr>
          <w:szCs w:val="22"/>
        </w:rPr>
        <w:t>he planning and control documents summarised and referenced in this Implementation Business Case</w:t>
      </w:r>
      <w:r w:rsidR="00E7356E" w:rsidRPr="00CD1A83">
        <w:rPr>
          <w:szCs w:val="22"/>
        </w:rPr>
        <w:t xml:space="preserve"> </w:t>
      </w:r>
      <w:r w:rsidR="004C07A8" w:rsidRPr="00CD1A83">
        <w:rPr>
          <w:szCs w:val="22"/>
        </w:rPr>
        <w:t>(</w:t>
      </w:r>
      <w:r w:rsidR="00E7356E" w:rsidRPr="00CD1A83">
        <w:rPr>
          <w:szCs w:val="22"/>
        </w:rPr>
        <w:t>listed below</w:t>
      </w:r>
      <w:r w:rsidR="004C07A8" w:rsidRPr="00CD1A83">
        <w:rPr>
          <w:szCs w:val="22"/>
        </w:rPr>
        <w:t>)</w:t>
      </w:r>
      <w:r w:rsidR="00E7356E" w:rsidRPr="00CD1A83">
        <w:rPr>
          <w:szCs w:val="22"/>
        </w:rPr>
        <w:t xml:space="preserve"> are in place or substantially under development</w:t>
      </w:r>
      <w:r w:rsidRPr="00CD1A83">
        <w:rPr>
          <w:szCs w:val="22"/>
        </w:rPr>
        <w:t xml:space="preserve"> and will be the basis for management of this (project/tranche)</w:t>
      </w:r>
      <w:r w:rsidR="004C07A8" w:rsidRPr="00CD1A83">
        <w:rPr>
          <w:szCs w:val="22"/>
        </w:rPr>
        <w:t>.</w:t>
      </w:r>
    </w:p>
    <w:p w14:paraId="7F4B4D0E" w14:textId="39CBACA1" w:rsidR="001334C1" w:rsidRPr="00CD1A83" w:rsidRDefault="001334C1" w:rsidP="00CD1A83">
      <w:pPr>
        <w:pStyle w:val="ListParagraph"/>
        <w:numPr>
          <w:ilvl w:val="0"/>
          <w:numId w:val="40"/>
        </w:numPr>
        <w:spacing w:line="260" w:lineRule="atLeast"/>
        <w:ind w:left="425" w:hanging="425"/>
        <w:rPr>
          <w:szCs w:val="22"/>
        </w:rPr>
      </w:pPr>
      <w:r w:rsidRPr="00CD1A83">
        <w:rPr>
          <w:szCs w:val="22"/>
        </w:rPr>
        <w:t xml:space="preserve">The agency has </w:t>
      </w:r>
      <w:r w:rsidR="004C07A8" w:rsidRPr="00CD1A83">
        <w:rPr>
          <w:szCs w:val="22"/>
        </w:rPr>
        <w:t xml:space="preserve">project management </w:t>
      </w:r>
      <w:r w:rsidRPr="00CD1A83">
        <w:rPr>
          <w:szCs w:val="22"/>
        </w:rPr>
        <w:t>structures, plans and processes in place to ensure successful delivery.</w:t>
      </w:r>
    </w:p>
    <w:p w14:paraId="5FDC0F33" w14:textId="26A5131E" w:rsidR="001334C1" w:rsidRPr="00CD1A83" w:rsidRDefault="001334C1" w:rsidP="00122AD6">
      <w:pPr>
        <w:spacing w:line="260" w:lineRule="atLeast"/>
        <w:rPr>
          <w:szCs w:val="22"/>
        </w:rPr>
      </w:pPr>
      <w:r w:rsidRPr="00CD1A83">
        <w:rPr>
          <w:szCs w:val="22"/>
        </w:rPr>
        <w:t xml:space="preserve">These documents are available to decision-makers, Monitoring Agencies, Central Agencies and Functional Leads for review.  </w:t>
      </w:r>
    </w:p>
    <w:p w14:paraId="487D53C9" w14:textId="6B08AC16" w:rsidR="00CD38D1" w:rsidRPr="00CD1A83" w:rsidRDefault="006A024A" w:rsidP="00122AD6">
      <w:pPr>
        <w:spacing w:line="260" w:lineRule="atLeast"/>
        <w:rPr>
          <w:szCs w:val="22"/>
        </w:rPr>
      </w:pPr>
      <w:r w:rsidRPr="00CD1A83">
        <w:rPr>
          <w:szCs w:val="22"/>
        </w:rPr>
        <w:t>C</w:t>
      </w:r>
      <w:r w:rsidR="00095FC5" w:rsidRPr="00CD1A83">
        <w:rPr>
          <w:szCs w:val="22"/>
        </w:rPr>
        <w:t>ontact</w:t>
      </w:r>
      <w:r w:rsidR="008A7481" w:rsidRPr="00CD1A83">
        <w:rPr>
          <w:szCs w:val="22"/>
        </w:rPr>
        <w:t xml:space="preserve"> </w:t>
      </w:r>
      <w:r w:rsidR="008A7481" w:rsidRPr="00CD1A83">
        <w:rPr>
          <w:szCs w:val="22"/>
          <w:highlight w:val="yellow"/>
        </w:rPr>
        <w:t>(</w:t>
      </w:r>
      <w:r w:rsidR="00CD38D1" w:rsidRPr="00CD1A83">
        <w:rPr>
          <w:szCs w:val="22"/>
          <w:highlight w:val="yellow"/>
        </w:rPr>
        <w:t>email address</w:t>
      </w:r>
      <w:r w:rsidR="009049DE" w:rsidRPr="00CD1A83">
        <w:rPr>
          <w:szCs w:val="22"/>
          <w:highlight w:val="yellow"/>
        </w:rPr>
        <w:t>, preferably for a group (</w:t>
      </w:r>
      <w:proofErr w:type="spellStart"/>
      <w:r w:rsidR="009049DE" w:rsidRPr="00CD1A83">
        <w:rPr>
          <w:szCs w:val="22"/>
          <w:highlight w:val="yellow"/>
        </w:rPr>
        <w:t>eg</w:t>
      </w:r>
      <w:proofErr w:type="spellEnd"/>
      <w:r w:rsidR="009049DE" w:rsidRPr="00CD1A83">
        <w:rPr>
          <w:szCs w:val="22"/>
          <w:highlight w:val="yellow"/>
        </w:rPr>
        <w:t xml:space="preserve"> PMO) rather than an individual</w:t>
      </w:r>
      <w:r w:rsidR="00CD38D1" w:rsidRPr="00CD1A83">
        <w:rPr>
          <w:szCs w:val="22"/>
          <w:highlight w:val="yellow"/>
        </w:rPr>
        <w:t>)</w:t>
      </w:r>
      <w:r w:rsidR="00CD38D1" w:rsidRPr="00CD1A83">
        <w:rPr>
          <w:szCs w:val="22"/>
        </w:rPr>
        <w:t xml:space="preserve"> for a copy.</w:t>
      </w:r>
    </w:p>
    <w:p w14:paraId="0B0429E7" w14:textId="3A74A11F" w:rsidR="001A1A48" w:rsidRPr="00CD1A83" w:rsidRDefault="001A1A48" w:rsidP="00122AD6">
      <w:pPr>
        <w:spacing w:line="260" w:lineRule="atLeast"/>
        <w:rPr>
          <w:i/>
          <w:color w:val="0033CC"/>
          <w:szCs w:val="22"/>
        </w:rPr>
      </w:pPr>
      <w:r w:rsidRPr="00CD1A83">
        <w:rPr>
          <w:i/>
          <w:color w:val="0033CC"/>
          <w:szCs w:val="22"/>
        </w:rPr>
        <w:t>Note</w:t>
      </w:r>
      <w:r w:rsidR="004C07A8" w:rsidRPr="00CD1A83">
        <w:rPr>
          <w:i/>
          <w:color w:val="0033CC"/>
          <w:szCs w:val="22"/>
        </w:rPr>
        <w:t>:</w:t>
      </w:r>
      <w:r w:rsidRPr="00CD1A83">
        <w:rPr>
          <w:i/>
          <w:color w:val="0033CC"/>
          <w:szCs w:val="22"/>
        </w:rPr>
        <w:t xml:space="preserve"> your agency may call these d</w:t>
      </w:r>
      <w:r w:rsidR="00742A5B" w:rsidRPr="00CD1A83">
        <w:rPr>
          <w:i/>
          <w:color w:val="0033CC"/>
          <w:szCs w:val="22"/>
        </w:rPr>
        <w:t>ocuments by different names</w:t>
      </w:r>
      <w:r w:rsidRPr="00CD1A83">
        <w:rPr>
          <w:i/>
          <w:color w:val="0033CC"/>
          <w:szCs w:val="22"/>
        </w:rPr>
        <w:t>, or may include some material in other documents, or hold the information differently (</w:t>
      </w:r>
      <w:proofErr w:type="spellStart"/>
      <w:r w:rsidRPr="00CD1A83">
        <w:rPr>
          <w:i/>
          <w:color w:val="0033CC"/>
          <w:szCs w:val="22"/>
        </w:rPr>
        <w:t>eg</w:t>
      </w:r>
      <w:proofErr w:type="spellEnd"/>
      <w:r w:rsidRPr="00CD1A83">
        <w:rPr>
          <w:i/>
          <w:color w:val="0033CC"/>
          <w:szCs w:val="22"/>
        </w:rPr>
        <w:t xml:space="preserve"> in Jira). </w:t>
      </w:r>
      <w:r w:rsidR="00095FC5" w:rsidRPr="00CD1A83">
        <w:rPr>
          <w:i/>
          <w:color w:val="0033CC"/>
          <w:szCs w:val="22"/>
        </w:rPr>
        <w:t xml:space="preserve"> </w:t>
      </w:r>
      <w:r w:rsidR="004C07A8" w:rsidRPr="00CD1A83">
        <w:rPr>
          <w:i/>
          <w:color w:val="0033CC"/>
          <w:szCs w:val="22"/>
        </w:rPr>
        <w:t xml:space="preserve">If so, </w:t>
      </w:r>
      <w:r w:rsidRPr="00CD1A83">
        <w:rPr>
          <w:i/>
          <w:color w:val="0033CC"/>
          <w:szCs w:val="22"/>
        </w:rPr>
        <w:t xml:space="preserve">rename them, here and in the </w:t>
      </w:r>
      <w:proofErr w:type="spellStart"/>
      <w:r w:rsidR="00742A5B" w:rsidRPr="00CD1A83">
        <w:rPr>
          <w:i/>
          <w:color w:val="0033CC"/>
          <w:szCs w:val="22"/>
        </w:rPr>
        <w:t>ImBC</w:t>
      </w:r>
      <w:proofErr w:type="spellEnd"/>
      <w:r w:rsidR="00742A5B" w:rsidRPr="00CD1A83">
        <w:rPr>
          <w:i/>
          <w:color w:val="0033CC"/>
          <w:szCs w:val="22"/>
        </w:rPr>
        <w:t>.  Note in the comment if this m</w:t>
      </w:r>
      <w:r w:rsidRPr="00CD1A83">
        <w:rPr>
          <w:i/>
          <w:color w:val="0033CC"/>
          <w:szCs w:val="22"/>
        </w:rPr>
        <w:t xml:space="preserve">aterial is </w:t>
      </w:r>
      <w:r w:rsidR="00742A5B" w:rsidRPr="00CD1A83">
        <w:rPr>
          <w:i/>
          <w:color w:val="0033CC"/>
          <w:szCs w:val="22"/>
        </w:rPr>
        <w:t xml:space="preserve">included in </w:t>
      </w:r>
      <w:r w:rsidRPr="00CD1A83">
        <w:rPr>
          <w:i/>
          <w:color w:val="0033CC"/>
          <w:szCs w:val="22"/>
        </w:rPr>
        <w:t>(document x)</w:t>
      </w:r>
      <w:r w:rsidR="00742A5B" w:rsidRPr="00CD1A83">
        <w:rPr>
          <w:i/>
          <w:color w:val="0033CC"/>
          <w:szCs w:val="22"/>
        </w:rPr>
        <w:t>/held in Jira/</w:t>
      </w:r>
      <w:proofErr w:type="spellStart"/>
      <w:r w:rsidR="00742A5B" w:rsidRPr="00CD1A83">
        <w:rPr>
          <w:i/>
          <w:color w:val="0033CC"/>
          <w:szCs w:val="22"/>
        </w:rPr>
        <w:t>etc</w:t>
      </w:r>
      <w:proofErr w:type="spellEnd"/>
      <w:r w:rsidR="00742A5B" w:rsidRPr="00CD1A83">
        <w:rPr>
          <w:i/>
          <w:color w:val="0033CC"/>
          <w:szCs w:val="22"/>
        </w:rPr>
        <w:t>)</w:t>
      </w:r>
      <w:r w:rsidR="009049DE" w:rsidRPr="00CD1A83">
        <w:rPr>
          <w:i/>
          <w:color w:val="0033CC"/>
          <w:szCs w:val="22"/>
        </w:rPr>
        <w:t xml:space="preserve">.  Add more documents if you </w:t>
      </w:r>
      <w:r w:rsidR="00742A5B" w:rsidRPr="00CD1A83">
        <w:rPr>
          <w:i/>
          <w:color w:val="0033CC"/>
          <w:szCs w:val="22"/>
        </w:rPr>
        <w:t xml:space="preserve">reference them in the </w:t>
      </w:r>
      <w:proofErr w:type="spellStart"/>
      <w:r w:rsidR="00742A5B" w:rsidRPr="00CD1A83">
        <w:rPr>
          <w:i/>
          <w:color w:val="0033CC"/>
          <w:szCs w:val="22"/>
        </w:rPr>
        <w:t>ImBC</w:t>
      </w:r>
      <w:proofErr w:type="spellEnd"/>
      <w:r w:rsidR="009049DE" w:rsidRPr="00CD1A83">
        <w:rPr>
          <w:i/>
          <w:color w:val="0033CC"/>
          <w:szCs w:val="22"/>
        </w:rPr>
        <w:t>.</w:t>
      </w:r>
    </w:p>
    <w:tbl>
      <w:tblPr>
        <w:tblW w:w="9351"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19"/>
        <w:gridCol w:w="3370"/>
        <w:gridCol w:w="950"/>
        <w:gridCol w:w="1303"/>
        <w:gridCol w:w="3309"/>
      </w:tblGrid>
      <w:tr w:rsidR="00122AD6" w:rsidRPr="00122AD6" w14:paraId="0458A7E9" w14:textId="77777777" w:rsidTr="00CD1A83">
        <w:tc>
          <w:tcPr>
            <w:tcW w:w="419" w:type="dxa"/>
            <w:shd w:val="clear" w:color="auto" w:fill="DEEAF6"/>
          </w:tcPr>
          <w:p w14:paraId="16767B48" w14:textId="4F16BE4B" w:rsidR="00CD38D1" w:rsidRPr="00122AD6" w:rsidRDefault="008A7481" w:rsidP="00122AD6">
            <w:pPr>
              <w:spacing w:before="40" w:after="40" w:line="260" w:lineRule="atLeast"/>
              <w:jc w:val="both"/>
              <w:rPr>
                <w:b/>
                <w:bCs/>
                <w:color w:val="002469"/>
                <w:sz w:val="20"/>
              </w:rPr>
            </w:pPr>
            <w:r w:rsidRPr="00122AD6">
              <w:rPr>
                <w:b/>
                <w:bCs/>
                <w:color w:val="002469"/>
                <w:sz w:val="20"/>
              </w:rPr>
              <w:t>#</w:t>
            </w:r>
          </w:p>
        </w:tc>
        <w:tc>
          <w:tcPr>
            <w:tcW w:w="3370" w:type="dxa"/>
            <w:shd w:val="clear" w:color="auto" w:fill="DEEAF6"/>
          </w:tcPr>
          <w:p w14:paraId="5A642D3B" w14:textId="77777777" w:rsidR="00CD38D1" w:rsidRPr="00122AD6" w:rsidRDefault="00CD38D1" w:rsidP="00122AD6">
            <w:pPr>
              <w:spacing w:before="40" w:after="40" w:line="260" w:lineRule="atLeast"/>
              <w:jc w:val="both"/>
              <w:rPr>
                <w:b/>
                <w:bCs/>
                <w:color w:val="002469"/>
                <w:sz w:val="20"/>
              </w:rPr>
            </w:pPr>
            <w:r w:rsidRPr="00122AD6">
              <w:rPr>
                <w:b/>
                <w:bCs/>
                <w:color w:val="002469"/>
                <w:sz w:val="20"/>
              </w:rPr>
              <w:t>Title</w:t>
            </w:r>
          </w:p>
        </w:tc>
        <w:tc>
          <w:tcPr>
            <w:tcW w:w="950" w:type="dxa"/>
            <w:shd w:val="clear" w:color="auto" w:fill="DEEAF6"/>
          </w:tcPr>
          <w:p w14:paraId="5028137D" w14:textId="77777777" w:rsidR="00CD38D1" w:rsidRPr="00122AD6" w:rsidRDefault="00CD38D1" w:rsidP="00122AD6">
            <w:pPr>
              <w:spacing w:before="40" w:after="40" w:line="260" w:lineRule="atLeast"/>
              <w:jc w:val="both"/>
              <w:rPr>
                <w:b/>
                <w:bCs/>
                <w:color w:val="002469"/>
                <w:sz w:val="20"/>
              </w:rPr>
            </w:pPr>
            <w:r w:rsidRPr="00122AD6">
              <w:rPr>
                <w:b/>
                <w:bCs/>
                <w:color w:val="002469"/>
                <w:sz w:val="20"/>
              </w:rPr>
              <w:t>Version</w:t>
            </w:r>
          </w:p>
        </w:tc>
        <w:tc>
          <w:tcPr>
            <w:tcW w:w="1303" w:type="dxa"/>
            <w:shd w:val="clear" w:color="auto" w:fill="DEEAF6"/>
          </w:tcPr>
          <w:p w14:paraId="2C808132" w14:textId="77777777" w:rsidR="00CD38D1" w:rsidRPr="00122AD6" w:rsidRDefault="00CD38D1" w:rsidP="00122AD6">
            <w:pPr>
              <w:spacing w:before="40" w:after="40" w:line="260" w:lineRule="atLeast"/>
              <w:jc w:val="both"/>
              <w:rPr>
                <w:b/>
                <w:bCs/>
                <w:color w:val="002469"/>
                <w:sz w:val="20"/>
              </w:rPr>
            </w:pPr>
            <w:r w:rsidRPr="00122AD6">
              <w:rPr>
                <w:b/>
                <w:bCs/>
                <w:color w:val="002469"/>
                <w:sz w:val="20"/>
              </w:rPr>
              <w:t>Date</w:t>
            </w:r>
          </w:p>
        </w:tc>
        <w:tc>
          <w:tcPr>
            <w:tcW w:w="3309" w:type="dxa"/>
            <w:shd w:val="clear" w:color="auto" w:fill="DEEAF6"/>
          </w:tcPr>
          <w:p w14:paraId="58E92C63" w14:textId="5F4E4B70" w:rsidR="00CD38D1" w:rsidRPr="00122AD6" w:rsidRDefault="00095FC5" w:rsidP="00122AD6">
            <w:pPr>
              <w:spacing w:before="40" w:after="40" w:line="260" w:lineRule="atLeast"/>
              <w:rPr>
                <w:b/>
                <w:bCs/>
                <w:color w:val="002469"/>
                <w:sz w:val="20"/>
              </w:rPr>
            </w:pPr>
            <w:r w:rsidRPr="00122AD6">
              <w:rPr>
                <w:b/>
                <w:bCs/>
                <w:color w:val="002469"/>
                <w:sz w:val="20"/>
              </w:rPr>
              <w:t>Comment</w:t>
            </w:r>
          </w:p>
        </w:tc>
      </w:tr>
      <w:tr w:rsidR="00301976" w:rsidRPr="00095FC5" w14:paraId="0DE22756" w14:textId="77777777" w:rsidTr="00CD1A83">
        <w:tc>
          <w:tcPr>
            <w:tcW w:w="419" w:type="dxa"/>
            <w:shd w:val="clear" w:color="auto" w:fill="auto"/>
          </w:tcPr>
          <w:p w14:paraId="582E563B" w14:textId="4988D777" w:rsidR="00301976" w:rsidRPr="00095FC5" w:rsidRDefault="00301976" w:rsidP="00122AD6">
            <w:pPr>
              <w:spacing w:before="40" w:after="40" w:line="260" w:lineRule="atLeast"/>
              <w:jc w:val="both"/>
              <w:rPr>
                <w:sz w:val="20"/>
              </w:rPr>
            </w:pPr>
          </w:p>
        </w:tc>
        <w:tc>
          <w:tcPr>
            <w:tcW w:w="3370" w:type="dxa"/>
            <w:shd w:val="clear" w:color="auto" w:fill="auto"/>
          </w:tcPr>
          <w:p w14:paraId="04AF054E" w14:textId="64F8CE62" w:rsidR="00301976" w:rsidRPr="00095FC5" w:rsidRDefault="0048289F" w:rsidP="00122AD6">
            <w:pPr>
              <w:spacing w:before="40" w:after="40" w:line="260" w:lineRule="atLeast"/>
              <w:rPr>
                <w:sz w:val="20"/>
              </w:rPr>
            </w:pPr>
            <w:r>
              <w:rPr>
                <w:sz w:val="20"/>
              </w:rPr>
              <w:t>Previous (</w:t>
            </w:r>
            <w:r w:rsidR="00095FC5">
              <w:rPr>
                <w:sz w:val="20"/>
              </w:rPr>
              <w:t>Detailed/Single Stage</w:t>
            </w:r>
            <w:r>
              <w:rPr>
                <w:sz w:val="20"/>
              </w:rPr>
              <w:t>)</w:t>
            </w:r>
            <w:r w:rsidR="00095FC5">
              <w:rPr>
                <w:sz w:val="20"/>
              </w:rPr>
              <w:t xml:space="preserve"> business case</w:t>
            </w:r>
          </w:p>
        </w:tc>
        <w:tc>
          <w:tcPr>
            <w:tcW w:w="950" w:type="dxa"/>
            <w:shd w:val="clear" w:color="auto" w:fill="auto"/>
          </w:tcPr>
          <w:p w14:paraId="496B3C14" w14:textId="288F9721" w:rsidR="00301976" w:rsidRPr="00095FC5" w:rsidRDefault="00301976" w:rsidP="00122AD6">
            <w:pPr>
              <w:spacing w:before="40" w:after="40" w:line="260" w:lineRule="atLeast"/>
              <w:jc w:val="both"/>
              <w:rPr>
                <w:sz w:val="20"/>
              </w:rPr>
            </w:pPr>
          </w:p>
        </w:tc>
        <w:tc>
          <w:tcPr>
            <w:tcW w:w="1303" w:type="dxa"/>
            <w:shd w:val="clear" w:color="auto" w:fill="auto"/>
          </w:tcPr>
          <w:p w14:paraId="31ECB4B1" w14:textId="03247455" w:rsidR="00301976" w:rsidRPr="00095FC5" w:rsidRDefault="00301976" w:rsidP="00122AD6">
            <w:pPr>
              <w:spacing w:before="40" w:after="40" w:line="260" w:lineRule="atLeast"/>
              <w:jc w:val="both"/>
              <w:rPr>
                <w:sz w:val="20"/>
              </w:rPr>
            </w:pPr>
          </w:p>
        </w:tc>
        <w:tc>
          <w:tcPr>
            <w:tcW w:w="3309" w:type="dxa"/>
            <w:shd w:val="clear" w:color="auto" w:fill="auto"/>
          </w:tcPr>
          <w:p w14:paraId="60DCB394" w14:textId="484F42AB" w:rsidR="00301976" w:rsidRPr="00095FC5" w:rsidRDefault="006A7630" w:rsidP="00122AD6">
            <w:pPr>
              <w:spacing w:before="40" w:after="40" w:line="260" w:lineRule="atLeast"/>
              <w:rPr>
                <w:sz w:val="20"/>
              </w:rPr>
            </w:pPr>
            <w:r>
              <w:rPr>
                <w:sz w:val="20"/>
              </w:rPr>
              <w:t>Signed off by Cabinet dd-Mmm-</w:t>
            </w:r>
            <w:r w:rsidR="0003530F">
              <w:rPr>
                <w:sz w:val="20"/>
              </w:rPr>
              <w:t>20YY</w:t>
            </w:r>
          </w:p>
        </w:tc>
      </w:tr>
      <w:tr w:rsidR="008A7481" w:rsidRPr="00095FC5" w14:paraId="46BAF8A8" w14:textId="77777777" w:rsidTr="00CD1A83">
        <w:tc>
          <w:tcPr>
            <w:tcW w:w="419" w:type="dxa"/>
            <w:shd w:val="clear" w:color="auto" w:fill="auto"/>
          </w:tcPr>
          <w:p w14:paraId="2722818A" w14:textId="563511BE" w:rsidR="008A7481" w:rsidRDefault="008A7481" w:rsidP="00122AD6">
            <w:pPr>
              <w:spacing w:before="40" w:after="40" w:line="260" w:lineRule="atLeast"/>
              <w:jc w:val="both"/>
              <w:rPr>
                <w:sz w:val="20"/>
              </w:rPr>
            </w:pPr>
          </w:p>
        </w:tc>
        <w:tc>
          <w:tcPr>
            <w:tcW w:w="3370" w:type="dxa"/>
            <w:shd w:val="clear" w:color="auto" w:fill="auto"/>
          </w:tcPr>
          <w:p w14:paraId="71D05682" w14:textId="3D7126CC" w:rsidR="008A7481" w:rsidRDefault="0048289F" w:rsidP="00122AD6">
            <w:pPr>
              <w:spacing w:before="40" w:after="40" w:line="260" w:lineRule="atLeast"/>
              <w:rPr>
                <w:sz w:val="20"/>
              </w:rPr>
            </w:pPr>
            <w:r>
              <w:rPr>
                <w:sz w:val="20"/>
              </w:rPr>
              <w:t>Updated Economic Analysis</w:t>
            </w:r>
          </w:p>
        </w:tc>
        <w:tc>
          <w:tcPr>
            <w:tcW w:w="950" w:type="dxa"/>
            <w:shd w:val="clear" w:color="auto" w:fill="auto"/>
          </w:tcPr>
          <w:p w14:paraId="6093AF16" w14:textId="77777777" w:rsidR="008A7481" w:rsidRPr="00095FC5" w:rsidRDefault="008A7481" w:rsidP="00122AD6">
            <w:pPr>
              <w:spacing w:before="40" w:after="40" w:line="260" w:lineRule="atLeast"/>
              <w:jc w:val="both"/>
              <w:rPr>
                <w:sz w:val="20"/>
              </w:rPr>
            </w:pPr>
          </w:p>
        </w:tc>
        <w:tc>
          <w:tcPr>
            <w:tcW w:w="1303" w:type="dxa"/>
            <w:shd w:val="clear" w:color="auto" w:fill="auto"/>
          </w:tcPr>
          <w:p w14:paraId="1CB0D48F" w14:textId="77777777" w:rsidR="008A7481" w:rsidRPr="00095FC5" w:rsidRDefault="008A7481" w:rsidP="00122AD6">
            <w:pPr>
              <w:spacing w:before="40" w:after="40" w:line="260" w:lineRule="atLeast"/>
              <w:jc w:val="both"/>
              <w:rPr>
                <w:sz w:val="20"/>
              </w:rPr>
            </w:pPr>
          </w:p>
        </w:tc>
        <w:tc>
          <w:tcPr>
            <w:tcW w:w="3309" w:type="dxa"/>
            <w:shd w:val="clear" w:color="auto" w:fill="auto"/>
          </w:tcPr>
          <w:p w14:paraId="46D72533" w14:textId="60118E41" w:rsidR="008A7481" w:rsidRPr="00095FC5" w:rsidRDefault="008A7481" w:rsidP="00122AD6">
            <w:pPr>
              <w:spacing w:before="40" w:after="40" w:line="260" w:lineRule="atLeast"/>
              <w:rPr>
                <w:sz w:val="20"/>
              </w:rPr>
            </w:pPr>
            <w:r>
              <w:rPr>
                <w:sz w:val="20"/>
              </w:rPr>
              <w:t xml:space="preserve">Attached as </w:t>
            </w:r>
            <w:hyperlink w:anchor="_Annex_2:" w:history="1">
              <w:r w:rsidRPr="001B42CB">
                <w:rPr>
                  <w:rStyle w:val="Hyperlink"/>
                  <w:sz w:val="20"/>
                </w:rPr>
                <w:t>Annex</w:t>
              </w:r>
              <w:r w:rsidR="0048289F" w:rsidRPr="001B42CB">
                <w:rPr>
                  <w:rStyle w:val="Hyperlink"/>
                  <w:sz w:val="20"/>
                </w:rPr>
                <w:t xml:space="preserve"> 3</w:t>
              </w:r>
            </w:hyperlink>
          </w:p>
        </w:tc>
      </w:tr>
      <w:tr w:rsidR="004567B8" w:rsidRPr="00095FC5" w14:paraId="10E0D5F7" w14:textId="77777777" w:rsidTr="00CD1A83">
        <w:tc>
          <w:tcPr>
            <w:tcW w:w="419" w:type="dxa"/>
            <w:shd w:val="clear" w:color="auto" w:fill="auto"/>
          </w:tcPr>
          <w:p w14:paraId="75A117DA" w14:textId="4CF68542" w:rsidR="004567B8" w:rsidRDefault="004567B8" w:rsidP="00122AD6">
            <w:pPr>
              <w:spacing w:before="40" w:after="40" w:line="260" w:lineRule="atLeast"/>
              <w:jc w:val="both"/>
              <w:rPr>
                <w:sz w:val="20"/>
              </w:rPr>
            </w:pPr>
          </w:p>
        </w:tc>
        <w:tc>
          <w:tcPr>
            <w:tcW w:w="3370" w:type="dxa"/>
            <w:shd w:val="clear" w:color="auto" w:fill="auto"/>
          </w:tcPr>
          <w:p w14:paraId="401D05F3" w14:textId="77777777" w:rsidR="004567B8" w:rsidRDefault="004567B8" w:rsidP="00122AD6">
            <w:pPr>
              <w:spacing w:before="40" w:after="40" w:line="260" w:lineRule="atLeast"/>
              <w:rPr>
                <w:sz w:val="20"/>
              </w:rPr>
            </w:pPr>
            <w:r>
              <w:rPr>
                <w:sz w:val="20"/>
              </w:rPr>
              <w:t>Approved Procurement Plan</w:t>
            </w:r>
          </w:p>
        </w:tc>
        <w:tc>
          <w:tcPr>
            <w:tcW w:w="950" w:type="dxa"/>
            <w:shd w:val="clear" w:color="auto" w:fill="auto"/>
          </w:tcPr>
          <w:p w14:paraId="347A0994" w14:textId="77777777" w:rsidR="004567B8" w:rsidRPr="00095FC5" w:rsidRDefault="004567B8" w:rsidP="00122AD6">
            <w:pPr>
              <w:spacing w:before="40" w:after="40" w:line="260" w:lineRule="atLeast"/>
              <w:jc w:val="both"/>
              <w:rPr>
                <w:sz w:val="20"/>
              </w:rPr>
            </w:pPr>
          </w:p>
        </w:tc>
        <w:tc>
          <w:tcPr>
            <w:tcW w:w="1303" w:type="dxa"/>
            <w:shd w:val="clear" w:color="auto" w:fill="auto"/>
          </w:tcPr>
          <w:p w14:paraId="48CE457C" w14:textId="77777777" w:rsidR="004567B8" w:rsidRPr="00095FC5" w:rsidRDefault="004567B8" w:rsidP="00122AD6">
            <w:pPr>
              <w:spacing w:before="40" w:after="40" w:line="260" w:lineRule="atLeast"/>
              <w:jc w:val="both"/>
              <w:rPr>
                <w:sz w:val="20"/>
              </w:rPr>
            </w:pPr>
          </w:p>
        </w:tc>
        <w:tc>
          <w:tcPr>
            <w:tcW w:w="3309" w:type="dxa"/>
            <w:shd w:val="clear" w:color="auto" w:fill="auto"/>
          </w:tcPr>
          <w:p w14:paraId="2C4C9445" w14:textId="77777777" w:rsidR="004567B8" w:rsidRDefault="004567B8" w:rsidP="00122AD6">
            <w:pPr>
              <w:spacing w:before="40" w:after="40" w:line="260" w:lineRule="atLeast"/>
              <w:rPr>
                <w:sz w:val="20"/>
              </w:rPr>
            </w:pPr>
          </w:p>
        </w:tc>
      </w:tr>
      <w:tr w:rsidR="002D5739" w:rsidRPr="00095FC5" w14:paraId="1F614884" w14:textId="77777777" w:rsidTr="00CD1A83">
        <w:tc>
          <w:tcPr>
            <w:tcW w:w="419" w:type="dxa"/>
            <w:shd w:val="clear" w:color="auto" w:fill="auto"/>
          </w:tcPr>
          <w:p w14:paraId="79CD6B32" w14:textId="77777777" w:rsidR="002D5739" w:rsidRDefault="002D5739" w:rsidP="00122AD6">
            <w:pPr>
              <w:spacing w:before="40" w:after="40" w:line="260" w:lineRule="atLeast"/>
              <w:jc w:val="both"/>
              <w:rPr>
                <w:sz w:val="20"/>
              </w:rPr>
            </w:pPr>
          </w:p>
        </w:tc>
        <w:tc>
          <w:tcPr>
            <w:tcW w:w="3370" w:type="dxa"/>
            <w:shd w:val="clear" w:color="auto" w:fill="auto"/>
          </w:tcPr>
          <w:p w14:paraId="58965054" w14:textId="3D02FC61" w:rsidR="002D5739" w:rsidRDefault="002D5739" w:rsidP="00122AD6">
            <w:pPr>
              <w:spacing w:before="40" w:after="40" w:line="260" w:lineRule="atLeast"/>
              <w:rPr>
                <w:sz w:val="20"/>
              </w:rPr>
            </w:pPr>
            <w:r>
              <w:rPr>
                <w:sz w:val="20"/>
              </w:rPr>
              <w:t>Evaluation process and criteria</w:t>
            </w:r>
          </w:p>
        </w:tc>
        <w:tc>
          <w:tcPr>
            <w:tcW w:w="950" w:type="dxa"/>
            <w:shd w:val="clear" w:color="auto" w:fill="auto"/>
          </w:tcPr>
          <w:p w14:paraId="19948767" w14:textId="77777777" w:rsidR="002D5739" w:rsidRPr="00095FC5" w:rsidRDefault="002D5739" w:rsidP="00122AD6">
            <w:pPr>
              <w:spacing w:before="40" w:after="40" w:line="260" w:lineRule="atLeast"/>
              <w:jc w:val="both"/>
              <w:rPr>
                <w:sz w:val="20"/>
              </w:rPr>
            </w:pPr>
          </w:p>
        </w:tc>
        <w:tc>
          <w:tcPr>
            <w:tcW w:w="1303" w:type="dxa"/>
            <w:shd w:val="clear" w:color="auto" w:fill="auto"/>
          </w:tcPr>
          <w:p w14:paraId="721B2892" w14:textId="77777777" w:rsidR="002D5739" w:rsidRPr="00095FC5" w:rsidRDefault="002D5739" w:rsidP="00122AD6">
            <w:pPr>
              <w:spacing w:before="40" w:after="40" w:line="260" w:lineRule="atLeast"/>
              <w:jc w:val="both"/>
              <w:rPr>
                <w:sz w:val="20"/>
              </w:rPr>
            </w:pPr>
          </w:p>
        </w:tc>
        <w:tc>
          <w:tcPr>
            <w:tcW w:w="3309" w:type="dxa"/>
            <w:shd w:val="clear" w:color="auto" w:fill="auto"/>
          </w:tcPr>
          <w:p w14:paraId="16F0650C" w14:textId="268A0BDB" w:rsidR="002D5739" w:rsidRPr="00AB03B3" w:rsidRDefault="00AB03B3" w:rsidP="00122AD6">
            <w:pPr>
              <w:spacing w:before="40" w:after="40" w:line="260" w:lineRule="atLeast"/>
              <w:rPr>
                <w:i/>
                <w:iCs/>
                <w:color w:val="0000FF"/>
                <w:sz w:val="20"/>
              </w:rPr>
            </w:pPr>
            <w:proofErr w:type="spellStart"/>
            <w:r w:rsidRPr="00AB03B3">
              <w:rPr>
                <w:i/>
                <w:iCs/>
                <w:color w:val="0000FF"/>
                <w:sz w:val="20"/>
              </w:rPr>
              <w:t>Eg</w:t>
            </w:r>
            <w:proofErr w:type="spellEnd"/>
            <w:r w:rsidRPr="00AB03B3">
              <w:rPr>
                <w:i/>
                <w:iCs/>
                <w:color w:val="0000FF"/>
                <w:sz w:val="20"/>
              </w:rPr>
              <w:t xml:space="preserve"> included in Procurement Plan</w:t>
            </w:r>
          </w:p>
        </w:tc>
      </w:tr>
      <w:tr w:rsidR="00AB03B3" w:rsidRPr="00095FC5" w14:paraId="5BF842E5" w14:textId="77777777" w:rsidTr="00CD1A83">
        <w:tc>
          <w:tcPr>
            <w:tcW w:w="419" w:type="dxa"/>
            <w:shd w:val="clear" w:color="auto" w:fill="auto"/>
          </w:tcPr>
          <w:p w14:paraId="6B4F5C5A" w14:textId="77777777" w:rsidR="00AB03B3" w:rsidRDefault="00AB03B3" w:rsidP="00122AD6">
            <w:pPr>
              <w:spacing w:before="40" w:after="40" w:line="260" w:lineRule="atLeast"/>
              <w:jc w:val="both"/>
              <w:rPr>
                <w:sz w:val="20"/>
              </w:rPr>
            </w:pPr>
          </w:p>
        </w:tc>
        <w:tc>
          <w:tcPr>
            <w:tcW w:w="3370" w:type="dxa"/>
            <w:shd w:val="clear" w:color="auto" w:fill="auto"/>
          </w:tcPr>
          <w:p w14:paraId="5E96DDBB" w14:textId="076D9521" w:rsidR="00AB03B3" w:rsidRDefault="00AB03B3" w:rsidP="00122AD6">
            <w:pPr>
              <w:spacing w:before="40" w:after="40" w:line="260" w:lineRule="atLeast"/>
              <w:rPr>
                <w:sz w:val="20"/>
              </w:rPr>
            </w:pPr>
            <w:r>
              <w:rPr>
                <w:sz w:val="20"/>
              </w:rPr>
              <w:t>Due diligence assessment</w:t>
            </w:r>
          </w:p>
        </w:tc>
        <w:tc>
          <w:tcPr>
            <w:tcW w:w="950" w:type="dxa"/>
            <w:shd w:val="clear" w:color="auto" w:fill="auto"/>
          </w:tcPr>
          <w:p w14:paraId="5CC544A5" w14:textId="77777777" w:rsidR="00AB03B3" w:rsidRPr="00095FC5" w:rsidRDefault="00AB03B3" w:rsidP="00122AD6">
            <w:pPr>
              <w:spacing w:before="40" w:after="40" w:line="260" w:lineRule="atLeast"/>
              <w:jc w:val="both"/>
              <w:rPr>
                <w:sz w:val="20"/>
              </w:rPr>
            </w:pPr>
          </w:p>
        </w:tc>
        <w:tc>
          <w:tcPr>
            <w:tcW w:w="1303" w:type="dxa"/>
            <w:shd w:val="clear" w:color="auto" w:fill="auto"/>
          </w:tcPr>
          <w:p w14:paraId="16E7557F" w14:textId="77777777" w:rsidR="00AB03B3" w:rsidRPr="00095FC5" w:rsidRDefault="00AB03B3" w:rsidP="00122AD6">
            <w:pPr>
              <w:spacing w:before="40" w:after="40" w:line="260" w:lineRule="atLeast"/>
              <w:jc w:val="both"/>
              <w:rPr>
                <w:sz w:val="20"/>
              </w:rPr>
            </w:pPr>
          </w:p>
        </w:tc>
        <w:tc>
          <w:tcPr>
            <w:tcW w:w="3309" w:type="dxa"/>
            <w:shd w:val="clear" w:color="auto" w:fill="auto"/>
          </w:tcPr>
          <w:p w14:paraId="43C79DA9" w14:textId="77777777" w:rsidR="00AB03B3" w:rsidRPr="00095FC5" w:rsidRDefault="00AB03B3" w:rsidP="00122AD6">
            <w:pPr>
              <w:spacing w:before="40" w:after="40" w:line="260" w:lineRule="atLeast"/>
              <w:rPr>
                <w:sz w:val="20"/>
              </w:rPr>
            </w:pPr>
          </w:p>
        </w:tc>
      </w:tr>
      <w:tr w:rsidR="00095FC5" w:rsidRPr="00095FC5" w14:paraId="1D6C8143" w14:textId="77777777" w:rsidTr="00CD1A83">
        <w:tc>
          <w:tcPr>
            <w:tcW w:w="419" w:type="dxa"/>
            <w:shd w:val="clear" w:color="auto" w:fill="auto"/>
          </w:tcPr>
          <w:p w14:paraId="476789E3" w14:textId="286309A6" w:rsidR="00095FC5" w:rsidRDefault="00095FC5" w:rsidP="00122AD6">
            <w:pPr>
              <w:spacing w:before="40" w:after="40" w:line="260" w:lineRule="atLeast"/>
              <w:jc w:val="both"/>
              <w:rPr>
                <w:sz w:val="20"/>
              </w:rPr>
            </w:pPr>
          </w:p>
        </w:tc>
        <w:tc>
          <w:tcPr>
            <w:tcW w:w="3370" w:type="dxa"/>
            <w:shd w:val="clear" w:color="auto" w:fill="auto"/>
          </w:tcPr>
          <w:p w14:paraId="6A21A1A7" w14:textId="6421FEA5" w:rsidR="00095FC5" w:rsidRDefault="00095FC5" w:rsidP="00122AD6">
            <w:pPr>
              <w:spacing w:before="40" w:after="40" w:line="260" w:lineRule="atLeast"/>
              <w:rPr>
                <w:sz w:val="20"/>
              </w:rPr>
            </w:pPr>
            <w:r>
              <w:rPr>
                <w:sz w:val="20"/>
              </w:rPr>
              <w:t>Evaluation panel report/minutes</w:t>
            </w:r>
          </w:p>
        </w:tc>
        <w:tc>
          <w:tcPr>
            <w:tcW w:w="950" w:type="dxa"/>
            <w:shd w:val="clear" w:color="auto" w:fill="auto"/>
          </w:tcPr>
          <w:p w14:paraId="27437BDB" w14:textId="77777777" w:rsidR="00095FC5" w:rsidRPr="00095FC5" w:rsidRDefault="00095FC5" w:rsidP="00122AD6">
            <w:pPr>
              <w:spacing w:before="40" w:after="40" w:line="260" w:lineRule="atLeast"/>
              <w:jc w:val="both"/>
              <w:rPr>
                <w:sz w:val="20"/>
              </w:rPr>
            </w:pPr>
          </w:p>
        </w:tc>
        <w:tc>
          <w:tcPr>
            <w:tcW w:w="1303" w:type="dxa"/>
            <w:shd w:val="clear" w:color="auto" w:fill="auto"/>
          </w:tcPr>
          <w:p w14:paraId="62F34185" w14:textId="77777777" w:rsidR="00095FC5" w:rsidRPr="00095FC5" w:rsidRDefault="00095FC5" w:rsidP="00122AD6">
            <w:pPr>
              <w:spacing w:before="40" w:after="40" w:line="260" w:lineRule="atLeast"/>
              <w:jc w:val="both"/>
              <w:rPr>
                <w:sz w:val="20"/>
              </w:rPr>
            </w:pPr>
          </w:p>
        </w:tc>
        <w:tc>
          <w:tcPr>
            <w:tcW w:w="3309" w:type="dxa"/>
            <w:shd w:val="clear" w:color="auto" w:fill="auto"/>
          </w:tcPr>
          <w:p w14:paraId="292577AA" w14:textId="103F0EBE" w:rsidR="00095FC5" w:rsidRPr="00095FC5" w:rsidRDefault="00095FC5" w:rsidP="00122AD6">
            <w:pPr>
              <w:spacing w:before="40" w:after="40" w:line="260" w:lineRule="atLeast"/>
              <w:rPr>
                <w:sz w:val="20"/>
              </w:rPr>
            </w:pPr>
          </w:p>
        </w:tc>
      </w:tr>
      <w:tr w:rsidR="001B42CB" w:rsidRPr="00095FC5" w14:paraId="3E4DCD6D" w14:textId="77777777" w:rsidTr="00CD1A83">
        <w:tc>
          <w:tcPr>
            <w:tcW w:w="419" w:type="dxa"/>
            <w:shd w:val="clear" w:color="auto" w:fill="auto"/>
          </w:tcPr>
          <w:p w14:paraId="1681A093" w14:textId="77777777" w:rsidR="001B42CB" w:rsidRDefault="001B42CB" w:rsidP="00122AD6">
            <w:pPr>
              <w:spacing w:before="40" w:after="40" w:line="260" w:lineRule="atLeast"/>
              <w:jc w:val="both"/>
              <w:rPr>
                <w:sz w:val="20"/>
              </w:rPr>
            </w:pPr>
          </w:p>
        </w:tc>
        <w:tc>
          <w:tcPr>
            <w:tcW w:w="3370" w:type="dxa"/>
            <w:shd w:val="clear" w:color="auto" w:fill="auto"/>
          </w:tcPr>
          <w:p w14:paraId="05F9ED2A" w14:textId="37D19ECD" w:rsidR="001B42CB" w:rsidRDefault="001B42CB" w:rsidP="00122AD6">
            <w:pPr>
              <w:spacing w:before="40" w:after="40" w:line="260" w:lineRule="atLeast"/>
              <w:rPr>
                <w:sz w:val="20"/>
              </w:rPr>
            </w:pPr>
            <w:r>
              <w:rPr>
                <w:sz w:val="20"/>
              </w:rPr>
              <w:t>Key contractual documents</w:t>
            </w:r>
          </w:p>
        </w:tc>
        <w:tc>
          <w:tcPr>
            <w:tcW w:w="950" w:type="dxa"/>
            <w:shd w:val="clear" w:color="auto" w:fill="auto"/>
          </w:tcPr>
          <w:p w14:paraId="600C1BDA" w14:textId="77777777" w:rsidR="001B42CB" w:rsidRPr="00095FC5" w:rsidRDefault="001B42CB" w:rsidP="00122AD6">
            <w:pPr>
              <w:spacing w:before="40" w:after="40" w:line="260" w:lineRule="atLeast"/>
              <w:jc w:val="both"/>
              <w:rPr>
                <w:sz w:val="20"/>
              </w:rPr>
            </w:pPr>
          </w:p>
        </w:tc>
        <w:tc>
          <w:tcPr>
            <w:tcW w:w="1303" w:type="dxa"/>
            <w:shd w:val="clear" w:color="auto" w:fill="auto"/>
          </w:tcPr>
          <w:p w14:paraId="4B9571DB" w14:textId="77777777" w:rsidR="001B42CB" w:rsidRPr="00095FC5" w:rsidRDefault="001B42CB" w:rsidP="00122AD6">
            <w:pPr>
              <w:spacing w:before="40" w:after="40" w:line="260" w:lineRule="atLeast"/>
              <w:jc w:val="both"/>
              <w:rPr>
                <w:sz w:val="20"/>
              </w:rPr>
            </w:pPr>
          </w:p>
        </w:tc>
        <w:tc>
          <w:tcPr>
            <w:tcW w:w="3309" w:type="dxa"/>
            <w:shd w:val="clear" w:color="auto" w:fill="auto"/>
          </w:tcPr>
          <w:p w14:paraId="3F3DBB78" w14:textId="69DB4FA7" w:rsidR="001B42CB" w:rsidRDefault="001B42CB" w:rsidP="00122AD6">
            <w:pPr>
              <w:spacing w:before="40" w:after="40" w:line="260" w:lineRule="atLeast"/>
              <w:rPr>
                <w:sz w:val="20"/>
              </w:rPr>
            </w:pPr>
            <w:r>
              <w:rPr>
                <w:i/>
                <w:iCs/>
                <w:color w:val="0000FF"/>
                <w:sz w:val="20"/>
              </w:rPr>
              <w:t>List</w:t>
            </w:r>
            <w:r w:rsidR="009C584B">
              <w:rPr>
                <w:i/>
                <w:iCs/>
                <w:color w:val="0000FF"/>
                <w:sz w:val="20"/>
              </w:rPr>
              <w:t>,</w:t>
            </w:r>
            <w:r w:rsidR="009C584B">
              <w:rPr>
                <w:i/>
                <w:color w:val="0000FF"/>
                <w:sz w:val="20"/>
              </w:rPr>
              <w:t xml:space="preserve"> </w:t>
            </w:r>
            <w:proofErr w:type="spellStart"/>
            <w:r w:rsidR="009C584B">
              <w:rPr>
                <w:i/>
                <w:color w:val="0000FF"/>
                <w:sz w:val="20"/>
              </w:rPr>
              <w:t>eg</w:t>
            </w:r>
            <w:proofErr w:type="spellEnd"/>
            <w:r w:rsidR="009C584B">
              <w:rPr>
                <w:i/>
                <w:color w:val="0000FF"/>
                <w:sz w:val="20"/>
              </w:rPr>
              <w:t xml:space="preserve"> </w:t>
            </w:r>
            <w:r w:rsidR="0087038D">
              <w:rPr>
                <w:i/>
                <w:color w:val="0000FF"/>
                <w:sz w:val="20"/>
              </w:rPr>
              <w:t>Standard form PPP contract</w:t>
            </w:r>
            <w:r w:rsidR="004C07A8">
              <w:rPr>
                <w:i/>
                <w:color w:val="0000FF"/>
                <w:sz w:val="20"/>
              </w:rPr>
              <w:t xml:space="preserve"> (to be signed on approval of </w:t>
            </w:r>
            <w:proofErr w:type="spellStart"/>
            <w:r w:rsidR="004C07A8">
              <w:rPr>
                <w:i/>
                <w:color w:val="0000FF"/>
                <w:sz w:val="20"/>
              </w:rPr>
              <w:t>ImBC</w:t>
            </w:r>
            <w:proofErr w:type="spellEnd"/>
            <w:r w:rsidR="004C07A8">
              <w:rPr>
                <w:i/>
                <w:color w:val="0000FF"/>
                <w:sz w:val="20"/>
              </w:rPr>
              <w:t>)</w:t>
            </w:r>
            <w:r w:rsidR="0087038D">
              <w:rPr>
                <w:i/>
                <w:color w:val="0000FF"/>
                <w:sz w:val="20"/>
              </w:rPr>
              <w:t xml:space="preserve">; Contractual </w:t>
            </w:r>
            <w:proofErr w:type="spellStart"/>
            <w:r w:rsidR="0087038D">
              <w:rPr>
                <w:i/>
                <w:color w:val="0000FF"/>
                <w:sz w:val="20"/>
              </w:rPr>
              <w:t>Ts</w:t>
            </w:r>
            <w:proofErr w:type="spellEnd"/>
            <w:r w:rsidR="0087038D">
              <w:rPr>
                <w:i/>
                <w:color w:val="0000FF"/>
                <w:sz w:val="20"/>
              </w:rPr>
              <w:t xml:space="preserve"> &amp; Cs; Contract Management Plan; JD for Contract Manager;  </w:t>
            </w:r>
            <w:r w:rsidR="004C07A8">
              <w:rPr>
                <w:i/>
                <w:color w:val="0000FF"/>
                <w:sz w:val="20"/>
              </w:rPr>
              <w:t xml:space="preserve"> </w:t>
            </w:r>
          </w:p>
        </w:tc>
      </w:tr>
      <w:tr w:rsidR="00722080" w:rsidRPr="00095FC5" w14:paraId="5B147FE5" w14:textId="77777777" w:rsidTr="00CD1A83">
        <w:tc>
          <w:tcPr>
            <w:tcW w:w="419" w:type="dxa"/>
            <w:shd w:val="clear" w:color="auto" w:fill="auto"/>
          </w:tcPr>
          <w:p w14:paraId="1DA26A3B" w14:textId="77777777" w:rsidR="00722080" w:rsidRDefault="00722080" w:rsidP="00122AD6">
            <w:pPr>
              <w:spacing w:before="40" w:after="40" w:line="260" w:lineRule="atLeast"/>
              <w:jc w:val="both"/>
              <w:rPr>
                <w:sz w:val="20"/>
              </w:rPr>
            </w:pPr>
          </w:p>
        </w:tc>
        <w:tc>
          <w:tcPr>
            <w:tcW w:w="3370" w:type="dxa"/>
            <w:shd w:val="clear" w:color="auto" w:fill="auto"/>
          </w:tcPr>
          <w:p w14:paraId="7AD20A82" w14:textId="3C9D809F" w:rsidR="00722080" w:rsidRDefault="00722080" w:rsidP="00122AD6">
            <w:pPr>
              <w:spacing w:before="40" w:after="40" w:line="260" w:lineRule="atLeast"/>
              <w:rPr>
                <w:sz w:val="20"/>
              </w:rPr>
            </w:pPr>
            <w:r>
              <w:rPr>
                <w:sz w:val="20"/>
              </w:rPr>
              <w:t>Detailed Risk Transfer schedule</w:t>
            </w:r>
          </w:p>
        </w:tc>
        <w:tc>
          <w:tcPr>
            <w:tcW w:w="950" w:type="dxa"/>
            <w:shd w:val="clear" w:color="auto" w:fill="auto"/>
          </w:tcPr>
          <w:p w14:paraId="66EA1C74" w14:textId="77777777" w:rsidR="00722080" w:rsidRPr="00095FC5" w:rsidRDefault="00722080" w:rsidP="00122AD6">
            <w:pPr>
              <w:spacing w:before="40" w:after="40" w:line="260" w:lineRule="atLeast"/>
              <w:jc w:val="both"/>
              <w:rPr>
                <w:sz w:val="20"/>
              </w:rPr>
            </w:pPr>
          </w:p>
        </w:tc>
        <w:tc>
          <w:tcPr>
            <w:tcW w:w="1303" w:type="dxa"/>
            <w:shd w:val="clear" w:color="auto" w:fill="auto"/>
          </w:tcPr>
          <w:p w14:paraId="3E527877" w14:textId="77777777" w:rsidR="00722080" w:rsidRPr="00095FC5" w:rsidRDefault="00722080" w:rsidP="00122AD6">
            <w:pPr>
              <w:spacing w:before="40" w:after="40" w:line="260" w:lineRule="atLeast"/>
              <w:jc w:val="both"/>
              <w:rPr>
                <w:sz w:val="20"/>
              </w:rPr>
            </w:pPr>
          </w:p>
        </w:tc>
        <w:tc>
          <w:tcPr>
            <w:tcW w:w="3309" w:type="dxa"/>
            <w:shd w:val="clear" w:color="auto" w:fill="auto"/>
          </w:tcPr>
          <w:p w14:paraId="7CE43D66" w14:textId="680ECD22" w:rsidR="00722080" w:rsidRDefault="00722080" w:rsidP="00122AD6">
            <w:pPr>
              <w:spacing w:before="40" w:after="40" w:line="260" w:lineRule="atLeast"/>
              <w:rPr>
                <w:sz w:val="20"/>
              </w:rPr>
            </w:pPr>
            <w:r w:rsidRPr="00722080">
              <w:rPr>
                <w:i/>
                <w:iCs/>
                <w:color w:val="0000FF"/>
                <w:sz w:val="20"/>
              </w:rPr>
              <w:t>(PPP only)</w:t>
            </w:r>
            <w:r w:rsidRPr="00722080">
              <w:rPr>
                <w:color w:val="0000FF"/>
                <w:sz w:val="20"/>
              </w:rPr>
              <w:t xml:space="preserve"> </w:t>
            </w:r>
            <w:r>
              <w:rPr>
                <w:sz w:val="20"/>
              </w:rPr>
              <w:t xml:space="preserve">Attached as </w:t>
            </w:r>
            <w:hyperlink w:anchor="_Annex_4:_full" w:history="1">
              <w:r w:rsidRPr="001B42CB">
                <w:rPr>
                  <w:rStyle w:val="Hyperlink"/>
                  <w:sz w:val="20"/>
                </w:rPr>
                <w:t>Annex 4</w:t>
              </w:r>
            </w:hyperlink>
          </w:p>
        </w:tc>
      </w:tr>
      <w:tr w:rsidR="001B42CB" w:rsidRPr="00095FC5" w14:paraId="24638C6B" w14:textId="77777777" w:rsidTr="00CD1A83">
        <w:tc>
          <w:tcPr>
            <w:tcW w:w="419" w:type="dxa"/>
            <w:shd w:val="clear" w:color="auto" w:fill="auto"/>
          </w:tcPr>
          <w:p w14:paraId="760643A1" w14:textId="77777777" w:rsidR="001B42CB" w:rsidRDefault="001B42CB" w:rsidP="00122AD6">
            <w:pPr>
              <w:spacing w:before="40" w:after="40" w:line="260" w:lineRule="atLeast"/>
              <w:jc w:val="both"/>
              <w:rPr>
                <w:sz w:val="20"/>
              </w:rPr>
            </w:pPr>
          </w:p>
        </w:tc>
        <w:tc>
          <w:tcPr>
            <w:tcW w:w="3370" w:type="dxa"/>
            <w:shd w:val="clear" w:color="auto" w:fill="auto"/>
          </w:tcPr>
          <w:p w14:paraId="695D64CE" w14:textId="744B567E" w:rsidR="001B42CB" w:rsidRDefault="001B42CB" w:rsidP="00122AD6">
            <w:pPr>
              <w:spacing w:before="40" w:after="40" w:line="260" w:lineRule="atLeast"/>
              <w:rPr>
                <w:sz w:val="20"/>
              </w:rPr>
            </w:pPr>
            <w:r>
              <w:rPr>
                <w:sz w:val="20"/>
              </w:rPr>
              <w:t>Full list of financial assumptions</w:t>
            </w:r>
          </w:p>
        </w:tc>
        <w:tc>
          <w:tcPr>
            <w:tcW w:w="950" w:type="dxa"/>
            <w:shd w:val="clear" w:color="auto" w:fill="auto"/>
          </w:tcPr>
          <w:p w14:paraId="3EF133A3" w14:textId="77777777" w:rsidR="001B42CB" w:rsidRPr="00095FC5" w:rsidRDefault="001B42CB" w:rsidP="00122AD6">
            <w:pPr>
              <w:spacing w:before="40" w:after="40" w:line="260" w:lineRule="atLeast"/>
              <w:jc w:val="both"/>
              <w:rPr>
                <w:sz w:val="20"/>
              </w:rPr>
            </w:pPr>
          </w:p>
        </w:tc>
        <w:tc>
          <w:tcPr>
            <w:tcW w:w="1303" w:type="dxa"/>
            <w:shd w:val="clear" w:color="auto" w:fill="auto"/>
          </w:tcPr>
          <w:p w14:paraId="4656D745" w14:textId="77777777" w:rsidR="001B42CB" w:rsidRPr="00095FC5" w:rsidRDefault="001B42CB" w:rsidP="00122AD6">
            <w:pPr>
              <w:spacing w:before="40" w:after="40" w:line="260" w:lineRule="atLeast"/>
              <w:jc w:val="both"/>
              <w:rPr>
                <w:sz w:val="20"/>
              </w:rPr>
            </w:pPr>
          </w:p>
        </w:tc>
        <w:tc>
          <w:tcPr>
            <w:tcW w:w="3309" w:type="dxa"/>
            <w:shd w:val="clear" w:color="auto" w:fill="auto"/>
          </w:tcPr>
          <w:p w14:paraId="0C8D50DB" w14:textId="4F11EFC1" w:rsidR="001B42CB" w:rsidRDefault="001B42CB" w:rsidP="00122AD6">
            <w:pPr>
              <w:spacing w:before="40" w:after="40" w:line="260" w:lineRule="atLeast"/>
              <w:rPr>
                <w:sz w:val="20"/>
              </w:rPr>
            </w:pPr>
            <w:r>
              <w:rPr>
                <w:sz w:val="20"/>
              </w:rPr>
              <w:t xml:space="preserve">Attached as </w:t>
            </w:r>
            <w:hyperlink w:anchor="_Annex_5:_Full" w:history="1">
              <w:r w:rsidRPr="001B42CB">
                <w:rPr>
                  <w:rStyle w:val="Hyperlink"/>
                  <w:sz w:val="20"/>
                </w:rPr>
                <w:t xml:space="preserve">Annex </w:t>
              </w:r>
              <w:r w:rsidR="00722080">
                <w:rPr>
                  <w:rStyle w:val="Hyperlink"/>
                  <w:sz w:val="20"/>
                </w:rPr>
                <w:t>5</w:t>
              </w:r>
            </w:hyperlink>
          </w:p>
        </w:tc>
      </w:tr>
      <w:tr w:rsidR="009049DE" w:rsidRPr="00095FC5" w14:paraId="4341AB16" w14:textId="77777777" w:rsidTr="00CD1A83">
        <w:tc>
          <w:tcPr>
            <w:tcW w:w="419" w:type="dxa"/>
            <w:shd w:val="clear" w:color="auto" w:fill="auto"/>
          </w:tcPr>
          <w:p w14:paraId="501074CA" w14:textId="77777777" w:rsidR="009049DE" w:rsidRDefault="009049DE" w:rsidP="00122AD6">
            <w:pPr>
              <w:spacing w:before="40" w:after="40" w:line="260" w:lineRule="atLeast"/>
              <w:jc w:val="both"/>
              <w:rPr>
                <w:sz w:val="20"/>
              </w:rPr>
            </w:pPr>
          </w:p>
        </w:tc>
        <w:tc>
          <w:tcPr>
            <w:tcW w:w="3370" w:type="dxa"/>
            <w:shd w:val="clear" w:color="auto" w:fill="auto"/>
          </w:tcPr>
          <w:p w14:paraId="225D5C66" w14:textId="5AF4ED90" w:rsidR="009049DE" w:rsidRDefault="009049DE" w:rsidP="00122AD6">
            <w:pPr>
              <w:spacing w:before="40" w:after="40" w:line="260" w:lineRule="atLeast"/>
              <w:rPr>
                <w:sz w:val="20"/>
              </w:rPr>
            </w:pPr>
            <w:r>
              <w:rPr>
                <w:sz w:val="20"/>
              </w:rPr>
              <w:t>Detailed financial models</w:t>
            </w:r>
          </w:p>
        </w:tc>
        <w:tc>
          <w:tcPr>
            <w:tcW w:w="950" w:type="dxa"/>
            <w:shd w:val="clear" w:color="auto" w:fill="auto"/>
          </w:tcPr>
          <w:p w14:paraId="72AE87EC" w14:textId="77777777" w:rsidR="009049DE" w:rsidRPr="00095FC5" w:rsidRDefault="009049DE" w:rsidP="00122AD6">
            <w:pPr>
              <w:spacing w:before="40" w:after="40" w:line="260" w:lineRule="atLeast"/>
              <w:jc w:val="both"/>
              <w:rPr>
                <w:sz w:val="20"/>
              </w:rPr>
            </w:pPr>
          </w:p>
        </w:tc>
        <w:tc>
          <w:tcPr>
            <w:tcW w:w="1303" w:type="dxa"/>
            <w:shd w:val="clear" w:color="auto" w:fill="auto"/>
          </w:tcPr>
          <w:p w14:paraId="2CA164E4" w14:textId="77777777" w:rsidR="009049DE" w:rsidRPr="00095FC5" w:rsidRDefault="009049DE" w:rsidP="00122AD6">
            <w:pPr>
              <w:spacing w:before="40" w:after="40" w:line="260" w:lineRule="atLeast"/>
              <w:jc w:val="both"/>
              <w:rPr>
                <w:sz w:val="20"/>
              </w:rPr>
            </w:pPr>
          </w:p>
        </w:tc>
        <w:tc>
          <w:tcPr>
            <w:tcW w:w="3309" w:type="dxa"/>
            <w:shd w:val="clear" w:color="auto" w:fill="auto"/>
          </w:tcPr>
          <w:p w14:paraId="46A857EB" w14:textId="77777777" w:rsidR="009049DE" w:rsidRDefault="009049DE" w:rsidP="00122AD6">
            <w:pPr>
              <w:spacing w:before="40" w:after="40" w:line="260" w:lineRule="atLeast"/>
              <w:rPr>
                <w:sz w:val="20"/>
              </w:rPr>
            </w:pPr>
          </w:p>
        </w:tc>
      </w:tr>
      <w:tr w:rsidR="009049DE" w:rsidRPr="00095FC5" w14:paraId="5B578834" w14:textId="77777777" w:rsidTr="00CD1A83">
        <w:tc>
          <w:tcPr>
            <w:tcW w:w="419" w:type="dxa"/>
            <w:shd w:val="clear" w:color="auto" w:fill="auto"/>
          </w:tcPr>
          <w:p w14:paraId="5CE5579E" w14:textId="78001ACC" w:rsidR="009049DE" w:rsidRDefault="009049DE" w:rsidP="00122AD6">
            <w:pPr>
              <w:spacing w:before="40" w:after="40" w:line="260" w:lineRule="atLeast"/>
              <w:jc w:val="both"/>
              <w:rPr>
                <w:sz w:val="20"/>
              </w:rPr>
            </w:pPr>
          </w:p>
        </w:tc>
        <w:tc>
          <w:tcPr>
            <w:tcW w:w="3370" w:type="dxa"/>
            <w:shd w:val="clear" w:color="auto" w:fill="auto"/>
          </w:tcPr>
          <w:p w14:paraId="655F1E1D" w14:textId="105B1CA3" w:rsidR="009049DE" w:rsidRDefault="009049DE" w:rsidP="00122AD6">
            <w:pPr>
              <w:spacing w:before="40" w:after="40" w:line="260" w:lineRule="atLeast"/>
              <w:rPr>
                <w:sz w:val="20"/>
              </w:rPr>
            </w:pPr>
            <w:r>
              <w:rPr>
                <w:sz w:val="20"/>
              </w:rPr>
              <w:t>Further financial documents</w:t>
            </w:r>
          </w:p>
        </w:tc>
        <w:tc>
          <w:tcPr>
            <w:tcW w:w="950" w:type="dxa"/>
            <w:shd w:val="clear" w:color="auto" w:fill="auto"/>
          </w:tcPr>
          <w:p w14:paraId="0D1336F3" w14:textId="77777777" w:rsidR="009049DE" w:rsidRPr="00095FC5" w:rsidRDefault="009049DE" w:rsidP="00122AD6">
            <w:pPr>
              <w:spacing w:before="40" w:after="40" w:line="260" w:lineRule="atLeast"/>
              <w:jc w:val="both"/>
              <w:rPr>
                <w:sz w:val="20"/>
              </w:rPr>
            </w:pPr>
          </w:p>
        </w:tc>
        <w:tc>
          <w:tcPr>
            <w:tcW w:w="1303" w:type="dxa"/>
            <w:shd w:val="clear" w:color="auto" w:fill="auto"/>
          </w:tcPr>
          <w:p w14:paraId="352FB7C8" w14:textId="77777777" w:rsidR="009049DE" w:rsidRPr="00095FC5" w:rsidRDefault="009049DE" w:rsidP="00122AD6">
            <w:pPr>
              <w:spacing w:before="40" w:after="40" w:line="260" w:lineRule="atLeast"/>
              <w:jc w:val="both"/>
              <w:rPr>
                <w:sz w:val="20"/>
              </w:rPr>
            </w:pPr>
          </w:p>
        </w:tc>
        <w:tc>
          <w:tcPr>
            <w:tcW w:w="3309" w:type="dxa"/>
            <w:shd w:val="clear" w:color="auto" w:fill="auto"/>
          </w:tcPr>
          <w:p w14:paraId="02AA53A5" w14:textId="5C087F4D" w:rsidR="009049DE" w:rsidRDefault="00722080" w:rsidP="00122AD6">
            <w:pPr>
              <w:spacing w:before="40" w:after="40" w:line="260" w:lineRule="atLeast"/>
              <w:rPr>
                <w:sz w:val="20"/>
              </w:rPr>
            </w:pPr>
            <w:r>
              <w:rPr>
                <w:i/>
                <w:iCs/>
                <w:color w:val="0000FF"/>
                <w:sz w:val="20"/>
              </w:rPr>
              <w:t>List</w:t>
            </w:r>
          </w:p>
        </w:tc>
      </w:tr>
      <w:tr w:rsidR="009C0616" w:rsidRPr="00095FC5" w14:paraId="2300E505" w14:textId="77777777" w:rsidTr="00CD1A83">
        <w:tc>
          <w:tcPr>
            <w:tcW w:w="419" w:type="dxa"/>
            <w:shd w:val="clear" w:color="auto" w:fill="auto"/>
          </w:tcPr>
          <w:p w14:paraId="208FB1A6" w14:textId="7A75E285" w:rsidR="009C0616" w:rsidRDefault="009C0616" w:rsidP="00122AD6">
            <w:pPr>
              <w:spacing w:before="40" w:after="40" w:line="260" w:lineRule="atLeast"/>
              <w:jc w:val="both"/>
              <w:rPr>
                <w:sz w:val="20"/>
              </w:rPr>
            </w:pPr>
          </w:p>
        </w:tc>
        <w:tc>
          <w:tcPr>
            <w:tcW w:w="3370" w:type="dxa"/>
            <w:shd w:val="clear" w:color="auto" w:fill="auto"/>
          </w:tcPr>
          <w:p w14:paraId="439EECC5" w14:textId="11084973" w:rsidR="009C0616" w:rsidRDefault="009C0616" w:rsidP="00122AD6">
            <w:pPr>
              <w:spacing w:before="40" w:after="40" w:line="260" w:lineRule="atLeast"/>
              <w:rPr>
                <w:sz w:val="20"/>
              </w:rPr>
            </w:pPr>
            <w:r>
              <w:rPr>
                <w:sz w:val="20"/>
              </w:rPr>
              <w:t>Current Project Management Plan</w:t>
            </w:r>
          </w:p>
        </w:tc>
        <w:tc>
          <w:tcPr>
            <w:tcW w:w="950" w:type="dxa"/>
            <w:shd w:val="clear" w:color="auto" w:fill="auto"/>
          </w:tcPr>
          <w:p w14:paraId="42EE15A3" w14:textId="77777777" w:rsidR="009C0616" w:rsidRPr="00095FC5" w:rsidRDefault="009C0616" w:rsidP="00122AD6">
            <w:pPr>
              <w:spacing w:before="40" w:after="40" w:line="260" w:lineRule="atLeast"/>
              <w:jc w:val="both"/>
              <w:rPr>
                <w:sz w:val="20"/>
              </w:rPr>
            </w:pPr>
          </w:p>
        </w:tc>
        <w:tc>
          <w:tcPr>
            <w:tcW w:w="1303" w:type="dxa"/>
            <w:shd w:val="clear" w:color="auto" w:fill="auto"/>
          </w:tcPr>
          <w:p w14:paraId="42C0E069" w14:textId="77777777" w:rsidR="009C0616" w:rsidRPr="00095FC5" w:rsidRDefault="009C0616" w:rsidP="00122AD6">
            <w:pPr>
              <w:spacing w:before="40" w:after="40" w:line="260" w:lineRule="atLeast"/>
              <w:jc w:val="both"/>
              <w:rPr>
                <w:sz w:val="20"/>
              </w:rPr>
            </w:pPr>
          </w:p>
        </w:tc>
        <w:tc>
          <w:tcPr>
            <w:tcW w:w="3309" w:type="dxa"/>
            <w:shd w:val="clear" w:color="auto" w:fill="auto"/>
          </w:tcPr>
          <w:p w14:paraId="7C6DFFF2" w14:textId="1F7CC508" w:rsidR="009C0616" w:rsidRDefault="00C54D9D" w:rsidP="00122AD6">
            <w:pPr>
              <w:spacing w:before="40" w:after="40" w:line="260" w:lineRule="atLeast"/>
              <w:rPr>
                <w:sz w:val="20"/>
              </w:rPr>
            </w:pPr>
            <w:r>
              <w:rPr>
                <w:sz w:val="20"/>
              </w:rPr>
              <w:t>Or equivalent document</w:t>
            </w:r>
            <w:r w:rsidR="004C07A8">
              <w:rPr>
                <w:sz w:val="20"/>
              </w:rPr>
              <w:t xml:space="preserve">(s) </w:t>
            </w:r>
            <w:r w:rsidR="0087038D">
              <w:rPr>
                <w:sz w:val="20"/>
              </w:rPr>
              <w:t>/</w:t>
            </w:r>
            <w:r w:rsidR="004C07A8">
              <w:rPr>
                <w:sz w:val="20"/>
              </w:rPr>
              <w:t>systems</w:t>
            </w:r>
          </w:p>
        </w:tc>
      </w:tr>
      <w:tr w:rsidR="009C0616" w:rsidRPr="00095FC5" w14:paraId="1FB24324" w14:textId="77777777" w:rsidTr="00CD1A83">
        <w:tc>
          <w:tcPr>
            <w:tcW w:w="419" w:type="dxa"/>
            <w:shd w:val="clear" w:color="auto" w:fill="auto"/>
          </w:tcPr>
          <w:p w14:paraId="588D9B48" w14:textId="77777777" w:rsidR="009C0616" w:rsidRDefault="009C0616" w:rsidP="00122AD6">
            <w:pPr>
              <w:spacing w:before="40" w:after="40" w:line="260" w:lineRule="atLeast"/>
              <w:jc w:val="both"/>
              <w:rPr>
                <w:sz w:val="20"/>
              </w:rPr>
            </w:pPr>
          </w:p>
        </w:tc>
        <w:tc>
          <w:tcPr>
            <w:tcW w:w="3370" w:type="dxa"/>
            <w:shd w:val="clear" w:color="auto" w:fill="auto"/>
          </w:tcPr>
          <w:p w14:paraId="4B8B0D72" w14:textId="0C7F45FB" w:rsidR="009C0616" w:rsidRDefault="006A7630" w:rsidP="00122AD6">
            <w:pPr>
              <w:spacing w:before="40" w:after="40" w:line="260" w:lineRule="atLeast"/>
              <w:rPr>
                <w:sz w:val="20"/>
              </w:rPr>
            </w:pPr>
            <w:r>
              <w:rPr>
                <w:sz w:val="20"/>
              </w:rPr>
              <w:t>Resourcing Plan</w:t>
            </w:r>
          </w:p>
        </w:tc>
        <w:tc>
          <w:tcPr>
            <w:tcW w:w="950" w:type="dxa"/>
            <w:shd w:val="clear" w:color="auto" w:fill="auto"/>
          </w:tcPr>
          <w:p w14:paraId="308FA4A8" w14:textId="77777777" w:rsidR="009C0616" w:rsidRPr="00095FC5" w:rsidRDefault="009C0616" w:rsidP="00122AD6">
            <w:pPr>
              <w:spacing w:before="40" w:after="40" w:line="260" w:lineRule="atLeast"/>
              <w:jc w:val="both"/>
              <w:rPr>
                <w:sz w:val="20"/>
              </w:rPr>
            </w:pPr>
          </w:p>
        </w:tc>
        <w:tc>
          <w:tcPr>
            <w:tcW w:w="1303" w:type="dxa"/>
            <w:shd w:val="clear" w:color="auto" w:fill="auto"/>
          </w:tcPr>
          <w:p w14:paraId="11AC9D7F" w14:textId="77777777" w:rsidR="009C0616" w:rsidRPr="00095FC5" w:rsidRDefault="009C0616" w:rsidP="00122AD6">
            <w:pPr>
              <w:spacing w:before="40" w:after="40" w:line="260" w:lineRule="atLeast"/>
              <w:jc w:val="both"/>
              <w:rPr>
                <w:sz w:val="20"/>
              </w:rPr>
            </w:pPr>
          </w:p>
        </w:tc>
        <w:tc>
          <w:tcPr>
            <w:tcW w:w="3309" w:type="dxa"/>
            <w:shd w:val="clear" w:color="auto" w:fill="auto"/>
          </w:tcPr>
          <w:p w14:paraId="2622CA29" w14:textId="77777777" w:rsidR="009C0616" w:rsidRDefault="009C0616" w:rsidP="00122AD6">
            <w:pPr>
              <w:spacing w:before="40" w:after="40" w:line="260" w:lineRule="atLeast"/>
              <w:rPr>
                <w:sz w:val="20"/>
              </w:rPr>
            </w:pPr>
          </w:p>
        </w:tc>
      </w:tr>
      <w:tr w:rsidR="009C0616" w:rsidRPr="00095FC5" w14:paraId="103E57A7" w14:textId="77777777" w:rsidTr="00CD1A83">
        <w:tc>
          <w:tcPr>
            <w:tcW w:w="419" w:type="dxa"/>
            <w:shd w:val="clear" w:color="auto" w:fill="auto"/>
          </w:tcPr>
          <w:p w14:paraId="7AE7A4DB" w14:textId="77777777" w:rsidR="009C0616" w:rsidRDefault="009C0616" w:rsidP="00122AD6">
            <w:pPr>
              <w:spacing w:before="40" w:after="40" w:line="260" w:lineRule="atLeast"/>
              <w:jc w:val="both"/>
              <w:rPr>
                <w:sz w:val="20"/>
              </w:rPr>
            </w:pPr>
          </w:p>
        </w:tc>
        <w:tc>
          <w:tcPr>
            <w:tcW w:w="3370" w:type="dxa"/>
            <w:shd w:val="clear" w:color="auto" w:fill="auto"/>
          </w:tcPr>
          <w:p w14:paraId="23AC62FE" w14:textId="073BDFA7" w:rsidR="009C0616" w:rsidRDefault="006A7630" w:rsidP="00122AD6">
            <w:pPr>
              <w:spacing w:before="40" w:after="40" w:line="260" w:lineRule="atLeast"/>
              <w:rPr>
                <w:sz w:val="20"/>
              </w:rPr>
            </w:pPr>
            <w:r>
              <w:rPr>
                <w:sz w:val="20"/>
              </w:rPr>
              <w:t>Stakeholder Communication Plan</w:t>
            </w:r>
          </w:p>
        </w:tc>
        <w:tc>
          <w:tcPr>
            <w:tcW w:w="950" w:type="dxa"/>
            <w:shd w:val="clear" w:color="auto" w:fill="auto"/>
          </w:tcPr>
          <w:p w14:paraId="275E6073" w14:textId="77777777" w:rsidR="009C0616" w:rsidRPr="00095FC5" w:rsidRDefault="009C0616" w:rsidP="00122AD6">
            <w:pPr>
              <w:spacing w:before="40" w:after="40" w:line="260" w:lineRule="atLeast"/>
              <w:jc w:val="both"/>
              <w:rPr>
                <w:sz w:val="20"/>
              </w:rPr>
            </w:pPr>
          </w:p>
        </w:tc>
        <w:tc>
          <w:tcPr>
            <w:tcW w:w="1303" w:type="dxa"/>
            <w:shd w:val="clear" w:color="auto" w:fill="auto"/>
          </w:tcPr>
          <w:p w14:paraId="6AA6DBC4" w14:textId="77777777" w:rsidR="009C0616" w:rsidRPr="00095FC5" w:rsidRDefault="009C0616" w:rsidP="00122AD6">
            <w:pPr>
              <w:spacing w:before="40" w:after="40" w:line="260" w:lineRule="atLeast"/>
              <w:jc w:val="both"/>
              <w:rPr>
                <w:sz w:val="20"/>
              </w:rPr>
            </w:pPr>
          </w:p>
        </w:tc>
        <w:tc>
          <w:tcPr>
            <w:tcW w:w="3309" w:type="dxa"/>
            <w:shd w:val="clear" w:color="auto" w:fill="auto"/>
          </w:tcPr>
          <w:p w14:paraId="1E49CCB1" w14:textId="77777777" w:rsidR="009C0616" w:rsidRDefault="009C0616" w:rsidP="00122AD6">
            <w:pPr>
              <w:spacing w:before="40" w:after="40" w:line="260" w:lineRule="atLeast"/>
              <w:rPr>
                <w:sz w:val="20"/>
              </w:rPr>
            </w:pPr>
          </w:p>
        </w:tc>
      </w:tr>
      <w:tr w:rsidR="009C0616" w:rsidRPr="00095FC5" w14:paraId="3D82EC18" w14:textId="77777777" w:rsidTr="00CD1A83">
        <w:tc>
          <w:tcPr>
            <w:tcW w:w="419" w:type="dxa"/>
            <w:shd w:val="clear" w:color="auto" w:fill="auto"/>
          </w:tcPr>
          <w:p w14:paraId="7688941B" w14:textId="77777777" w:rsidR="009C0616" w:rsidRDefault="009C0616" w:rsidP="00122AD6">
            <w:pPr>
              <w:spacing w:before="40" w:after="40" w:line="260" w:lineRule="atLeast"/>
              <w:jc w:val="both"/>
              <w:rPr>
                <w:sz w:val="20"/>
              </w:rPr>
            </w:pPr>
          </w:p>
        </w:tc>
        <w:tc>
          <w:tcPr>
            <w:tcW w:w="3370" w:type="dxa"/>
            <w:shd w:val="clear" w:color="auto" w:fill="auto"/>
          </w:tcPr>
          <w:p w14:paraId="70A6D81A" w14:textId="40C0352B" w:rsidR="009C0616" w:rsidRDefault="009C0616" w:rsidP="00122AD6">
            <w:pPr>
              <w:spacing w:before="40" w:after="40" w:line="260" w:lineRule="atLeast"/>
              <w:rPr>
                <w:sz w:val="20"/>
              </w:rPr>
            </w:pPr>
            <w:r>
              <w:rPr>
                <w:sz w:val="20"/>
              </w:rPr>
              <w:t>Change Management Plan</w:t>
            </w:r>
          </w:p>
        </w:tc>
        <w:tc>
          <w:tcPr>
            <w:tcW w:w="950" w:type="dxa"/>
            <w:shd w:val="clear" w:color="auto" w:fill="auto"/>
          </w:tcPr>
          <w:p w14:paraId="4BBD46DE" w14:textId="77777777" w:rsidR="009C0616" w:rsidRPr="00095FC5" w:rsidRDefault="009C0616" w:rsidP="00122AD6">
            <w:pPr>
              <w:spacing w:before="40" w:after="40" w:line="260" w:lineRule="atLeast"/>
              <w:jc w:val="both"/>
              <w:rPr>
                <w:sz w:val="20"/>
              </w:rPr>
            </w:pPr>
          </w:p>
        </w:tc>
        <w:tc>
          <w:tcPr>
            <w:tcW w:w="1303" w:type="dxa"/>
            <w:shd w:val="clear" w:color="auto" w:fill="auto"/>
          </w:tcPr>
          <w:p w14:paraId="3754A25E" w14:textId="77777777" w:rsidR="009C0616" w:rsidRPr="00095FC5" w:rsidRDefault="009C0616" w:rsidP="00122AD6">
            <w:pPr>
              <w:spacing w:before="40" w:after="40" w:line="260" w:lineRule="atLeast"/>
              <w:jc w:val="both"/>
              <w:rPr>
                <w:sz w:val="20"/>
              </w:rPr>
            </w:pPr>
          </w:p>
        </w:tc>
        <w:tc>
          <w:tcPr>
            <w:tcW w:w="3309" w:type="dxa"/>
            <w:shd w:val="clear" w:color="auto" w:fill="auto"/>
          </w:tcPr>
          <w:p w14:paraId="44E5C352" w14:textId="77777777" w:rsidR="009C0616" w:rsidRDefault="009C0616" w:rsidP="00122AD6">
            <w:pPr>
              <w:spacing w:before="40" w:after="40" w:line="260" w:lineRule="atLeast"/>
              <w:rPr>
                <w:sz w:val="20"/>
              </w:rPr>
            </w:pPr>
          </w:p>
        </w:tc>
      </w:tr>
      <w:tr w:rsidR="006A7630" w:rsidRPr="00095FC5" w14:paraId="507A2E38" w14:textId="77777777" w:rsidTr="00CD1A83">
        <w:tc>
          <w:tcPr>
            <w:tcW w:w="419" w:type="dxa"/>
            <w:shd w:val="clear" w:color="auto" w:fill="auto"/>
          </w:tcPr>
          <w:p w14:paraId="576C2CD4" w14:textId="77777777" w:rsidR="006A7630" w:rsidRDefault="006A7630" w:rsidP="00122AD6">
            <w:pPr>
              <w:spacing w:before="40" w:after="40" w:line="260" w:lineRule="atLeast"/>
              <w:jc w:val="both"/>
              <w:rPr>
                <w:sz w:val="20"/>
              </w:rPr>
            </w:pPr>
          </w:p>
        </w:tc>
        <w:tc>
          <w:tcPr>
            <w:tcW w:w="3370" w:type="dxa"/>
            <w:shd w:val="clear" w:color="auto" w:fill="auto"/>
          </w:tcPr>
          <w:p w14:paraId="6C009695" w14:textId="70F0DA1A" w:rsidR="006A7630" w:rsidRDefault="006A7630" w:rsidP="00122AD6">
            <w:pPr>
              <w:spacing w:before="40" w:after="40" w:line="260" w:lineRule="atLeast"/>
              <w:rPr>
                <w:sz w:val="20"/>
              </w:rPr>
            </w:pPr>
            <w:r>
              <w:rPr>
                <w:sz w:val="20"/>
              </w:rPr>
              <w:t>Benefits Realisation Plan</w:t>
            </w:r>
          </w:p>
        </w:tc>
        <w:tc>
          <w:tcPr>
            <w:tcW w:w="950" w:type="dxa"/>
            <w:shd w:val="clear" w:color="auto" w:fill="auto"/>
          </w:tcPr>
          <w:p w14:paraId="6D9DBC99" w14:textId="77777777" w:rsidR="006A7630" w:rsidRPr="00095FC5" w:rsidRDefault="006A7630" w:rsidP="00122AD6">
            <w:pPr>
              <w:spacing w:before="40" w:after="40" w:line="260" w:lineRule="atLeast"/>
              <w:jc w:val="both"/>
              <w:rPr>
                <w:sz w:val="20"/>
              </w:rPr>
            </w:pPr>
          </w:p>
        </w:tc>
        <w:tc>
          <w:tcPr>
            <w:tcW w:w="1303" w:type="dxa"/>
            <w:shd w:val="clear" w:color="auto" w:fill="auto"/>
          </w:tcPr>
          <w:p w14:paraId="57593E21" w14:textId="77777777" w:rsidR="006A7630" w:rsidRPr="00095FC5" w:rsidRDefault="006A7630" w:rsidP="00122AD6">
            <w:pPr>
              <w:spacing w:before="40" w:after="40" w:line="260" w:lineRule="atLeast"/>
              <w:jc w:val="both"/>
              <w:rPr>
                <w:sz w:val="20"/>
              </w:rPr>
            </w:pPr>
          </w:p>
        </w:tc>
        <w:tc>
          <w:tcPr>
            <w:tcW w:w="3309" w:type="dxa"/>
            <w:shd w:val="clear" w:color="auto" w:fill="auto"/>
          </w:tcPr>
          <w:p w14:paraId="15B15E45" w14:textId="79B7CE58" w:rsidR="006A7630" w:rsidRDefault="006A7630" w:rsidP="00122AD6">
            <w:pPr>
              <w:spacing w:before="40" w:after="40" w:line="260" w:lineRule="atLeast"/>
              <w:rPr>
                <w:sz w:val="20"/>
              </w:rPr>
            </w:pPr>
            <w:r>
              <w:rPr>
                <w:sz w:val="20"/>
              </w:rPr>
              <w:t xml:space="preserve">Attached as </w:t>
            </w:r>
            <w:hyperlink w:anchor="_Annex_6:_Benefits" w:history="1">
              <w:r w:rsidRPr="001B42CB">
                <w:rPr>
                  <w:rStyle w:val="Hyperlink"/>
                  <w:sz w:val="20"/>
                </w:rPr>
                <w:t xml:space="preserve">Annex </w:t>
              </w:r>
              <w:r w:rsidR="00722080">
                <w:rPr>
                  <w:rStyle w:val="Hyperlink"/>
                  <w:sz w:val="20"/>
                </w:rPr>
                <w:t>6</w:t>
              </w:r>
            </w:hyperlink>
          </w:p>
        </w:tc>
      </w:tr>
      <w:tr w:rsidR="009C0616" w:rsidRPr="00095FC5" w14:paraId="5A81485F" w14:textId="77777777" w:rsidTr="00CD1A83">
        <w:tc>
          <w:tcPr>
            <w:tcW w:w="419" w:type="dxa"/>
            <w:shd w:val="clear" w:color="auto" w:fill="auto"/>
          </w:tcPr>
          <w:p w14:paraId="1F13911C" w14:textId="77777777" w:rsidR="009C0616" w:rsidRDefault="009C0616" w:rsidP="00122AD6">
            <w:pPr>
              <w:spacing w:before="40" w:after="40" w:line="260" w:lineRule="atLeast"/>
              <w:jc w:val="both"/>
              <w:rPr>
                <w:sz w:val="20"/>
              </w:rPr>
            </w:pPr>
          </w:p>
        </w:tc>
        <w:tc>
          <w:tcPr>
            <w:tcW w:w="3370" w:type="dxa"/>
            <w:shd w:val="clear" w:color="auto" w:fill="auto"/>
          </w:tcPr>
          <w:p w14:paraId="4CB29891" w14:textId="2298FD6E" w:rsidR="009C0616" w:rsidRDefault="009C0616" w:rsidP="00122AD6">
            <w:pPr>
              <w:spacing w:before="40" w:after="40" w:line="260" w:lineRule="atLeast"/>
              <w:rPr>
                <w:sz w:val="20"/>
              </w:rPr>
            </w:pPr>
            <w:r>
              <w:rPr>
                <w:sz w:val="20"/>
              </w:rPr>
              <w:t>Contract Management plan</w:t>
            </w:r>
          </w:p>
        </w:tc>
        <w:tc>
          <w:tcPr>
            <w:tcW w:w="950" w:type="dxa"/>
            <w:shd w:val="clear" w:color="auto" w:fill="auto"/>
          </w:tcPr>
          <w:p w14:paraId="7A93D1C2" w14:textId="77777777" w:rsidR="009C0616" w:rsidRPr="00095FC5" w:rsidRDefault="009C0616" w:rsidP="00122AD6">
            <w:pPr>
              <w:spacing w:before="40" w:after="40" w:line="260" w:lineRule="atLeast"/>
              <w:jc w:val="both"/>
              <w:rPr>
                <w:sz w:val="20"/>
              </w:rPr>
            </w:pPr>
          </w:p>
        </w:tc>
        <w:tc>
          <w:tcPr>
            <w:tcW w:w="1303" w:type="dxa"/>
            <w:shd w:val="clear" w:color="auto" w:fill="auto"/>
          </w:tcPr>
          <w:p w14:paraId="13E2EC93" w14:textId="77777777" w:rsidR="009C0616" w:rsidRPr="00095FC5" w:rsidRDefault="009C0616" w:rsidP="00122AD6">
            <w:pPr>
              <w:spacing w:before="40" w:after="40" w:line="260" w:lineRule="atLeast"/>
              <w:jc w:val="both"/>
              <w:rPr>
                <w:sz w:val="20"/>
              </w:rPr>
            </w:pPr>
          </w:p>
        </w:tc>
        <w:tc>
          <w:tcPr>
            <w:tcW w:w="3309" w:type="dxa"/>
            <w:shd w:val="clear" w:color="auto" w:fill="auto"/>
          </w:tcPr>
          <w:p w14:paraId="039A88DD" w14:textId="77777777" w:rsidR="009C0616" w:rsidRDefault="009C0616" w:rsidP="00122AD6">
            <w:pPr>
              <w:spacing w:before="40" w:after="40" w:line="260" w:lineRule="atLeast"/>
              <w:rPr>
                <w:sz w:val="20"/>
              </w:rPr>
            </w:pPr>
          </w:p>
        </w:tc>
      </w:tr>
      <w:tr w:rsidR="006A7630" w:rsidRPr="00095FC5" w14:paraId="40B2DEA2" w14:textId="77777777" w:rsidTr="00CD1A83">
        <w:tc>
          <w:tcPr>
            <w:tcW w:w="419" w:type="dxa"/>
            <w:shd w:val="clear" w:color="auto" w:fill="auto"/>
          </w:tcPr>
          <w:p w14:paraId="0501A124" w14:textId="77777777" w:rsidR="006A7630" w:rsidRDefault="006A7630" w:rsidP="00122AD6">
            <w:pPr>
              <w:spacing w:before="40" w:after="40" w:line="260" w:lineRule="atLeast"/>
              <w:jc w:val="both"/>
              <w:rPr>
                <w:sz w:val="20"/>
              </w:rPr>
            </w:pPr>
          </w:p>
        </w:tc>
        <w:tc>
          <w:tcPr>
            <w:tcW w:w="3370" w:type="dxa"/>
            <w:shd w:val="clear" w:color="auto" w:fill="auto"/>
          </w:tcPr>
          <w:p w14:paraId="2A8F8F43" w14:textId="329BB9F0" w:rsidR="006A7630" w:rsidRDefault="006A7630" w:rsidP="00122AD6">
            <w:pPr>
              <w:spacing w:before="40" w:after="40" w:line="260" w:lineRule="atLeast"/>
              <w:rPr>
                <w:sz w:val="20"/>
              </w:rPr>
            </w:pPr>
            <w:r>
              <w:rPr>
                <w:sz w:val="20"/>
              </w:rPr>
              <w:t>Risk Management Plan</w:t>
            </w:r>
          </w:p>
        </w:tc>
        <w:tc>
          <w:tcPr>
            <w:tcW w:w="950" w:type="dxa"/>
            <w:shd w:val="clear" w:color="auto" w:fill="auto"/>
          </w:tcPr>
          <w:p w14:paraId="6077C51F" w14:textId="77777777" w:rsidR="006A7630" w:rsidRPr="00095FC5" w:rsidRDefault="006A7630" w:rsidP="00122AD6">
            <w:pPr>
              <w:spacing w:before="40" w:after="40" w:line="260" w:lineRule="atLeast"/>
              <w:jc w:val="both"/>
              <w:rPr>
                <w:sz w:val="20"/>
              </w:rPr>
            </w:pPr>
          </w:p>
        </w:tc>
        <w:tc>
          <w:tcPr>
            <w:tcW w:w="1303" w:type="dxa"/>
            <w:shd w:val="clear" w:color="auto" w:fill="auto"/>
          </w:tcPr>
          <w:p w14:paraId="6DD2108C" w14:textId="77777777" w:rsidR="006A7630" w:rsidRPr="00095FC5" w:rsidRDefault="006A7630" w:rsidP="00122AD6">
            <w:pPr>
              <w:spacing w:before="40" w:after="40" w:line="260" w:lineRule="atLeast"/>
              <w:jc w:val="both"/>
              <w:rPr>
                <w:sz w:val="20"/>
              </w:rPr>
            </w:pPr>
          </w:p>
        </w:tc>
        <w:tc>
          <w:tcPr>
            <w:tcW w:w="3309" w:type="dxa"/>
            <w:shd w:val="clear" w:color="auto" w:fill="auto"/>
          </w:tcPr>
          <w:p w14:paraId="2ED1C658" w14:textId="77777777" w:rsidR="006A7630" w:rsidRDefault="006A7630" w:rsidP="00122AD6">
            <w:pPr>
              <w:spacing w:before="40" w:after="40" w:line="260" w:lineRule="atLeast"/>
              <w:rPr>
                <w:sz w:val="20"/>
              </w:rPr>
            </w:pPr>
          </w:p>
        </w:tc>
      </w:tr>
      <w:tr w:rsidR="006A7630" w:rsidRPr="00095FC5" w14:paraId="1EA82290" w14:textId="77777777" w:rsidTr="00CD1A83">
        <w:tc>
          <w:tcPr>
            <w:tcW w:w="419" w:type="dxa"/>
            <w:shd w:val="clear" w:color="auto" w:fill="auto"/>
          </w:tcPr>
          <w:p w14:paraId="3F221604" w14:textId="77777777" w:rsidR="006A7630" w:rsidRDefault="006A7630" w:rsidP="00122AD6">
            <w:pPr>
              <w:spacing w:before="40" w:after="40" w:line="260" w:lineRule="atLeast"/>
              <w:jc w:val="both"/>
              <w:rPr>
                <w:sz w:val="20"/>
              </w:rPr>
            </w:pPr>
          </w:p>
        </w:tc>
        <w:tc>
          <w:tcPr>
            <w:tcW w:w="3370" w:type="dxa"/>
            <w:shd w:val="clear" w:color="auto" w:fill="auto"/>
          </w:tcPr>
          <w:p w14:paraId="19B37138" w14:textId="5F5BE6AF" w:rsidR="006A7630" w:rsidRDefault="006A7630" w:rsidP="00122AD6">
            <w:pPr>
              <w:spacing w:before="40" w:after="40" w:line="260" w:lineRule="atLeast"/>
              <w:rPr>
                <w:sz w:val="20"/>
              </w:rPr>
            </w:pPr>
            <w:r>
              <w:rPr>
                <w:sz w:val="20"/>
              </w:rPr>
              <w:t>Risk Register – top (20) risks</w:t>
            </w:r>
          </w:p>
        </w:tc>
        <w:tc>
          <w:tcPr>
            <w:tcW w:w="950" w:type="dxa"/>
            <w:shd w:val="clear" w:color="auto" w:fill="auto"/>
          </w:tcPr>
          <w:p w14:paraId="140B3C0D" w14:textId="77777777" w:rsidR="006A7630" w:rsidRPr="00095FC5" w:rsidRDefault="006A7630" w:rsidP="00122AD6">
            <w:pPr>
              <w:spacing w:before="40" w:after="40" w:line="260" w:lineRule="atLeast"/>
              <w:jc w:val="both"/>
              <w:rPr>
                <w:sz w:val="20"/>
              </w:rPr>
            </w:pPr>
          </w:p>
        </w:tc>
        <w:tc>
          <w:tcPr>
            <w:tcW w:w="1303" w:type="dxa"/>
            <w:shd w:val="clear" w:color="auto" w:fill="auto"/>
          </w:tcPr>
          <w:p w14:paraId="0E0B75E0" w14:textId="77777777" w:rsidR="006A7630" w:rsidRPr="00095FC5" w:rsidRDefault="006A7630" w:rsidP="00122AD6">
            <w:pPr>
              <w:spacing w:before="40" w:after="40" w:line="260" w:lineRule="atLeast"/>
              <w:jc w:val="both"/>
              <w:rPr>
                <w:sz w:val="20"/>
              </w:rPr>
            </w:pPr>
          </w:p>
        </w:tc>
        <w:tc>
          <w:tcPr>
            <w:tcW w:w="3309" w:type="dxa"/>
            <w:shd w:val="clear" w:color="auto" w:fill="auto"/>
          </w:tcPr>
          <w:p w14:paraId="68B5B9DC" w14:textId="6DCBFA55" w:rsidR="006A7630" w:rsidRDefault="006A7630" w:rsidP="00122AD6">
            <w:pPr>
              <w:spacing w:before="40" w:after="40" w:line="260" w:lineRule="atLeast"/>
              <w:rPr>
                <w:sz w:val="20"/>
              </w:rPr>
            </w:pPr>
            <w:r>
              <w:rPr>
                <w:sz w:val="20"/>
              </w:rPr>
              <w:t xml:space="preserve">Attached as </w:t>
            </w:r>
            <w:hyperlink w:anchor="_Annex_7:_Top" w:history="1">
              <w:r w:rsidRPr="00722080">
                <w:rPr>
                  <w:rStyle w:val="Hyperlink"/>
                  <w:sz w:val="20"/>
                </w:rPr>
                <w:t xml:space="preserve">Annex </w:t>
              </w:r>
              <w:r w:rsidR="00722080" w:rsidRPr="00722080">
                <w:rPr>
                  <w:rStyle w:val="Hyperlink"/>
                  <w:sz w:val="20"/>
                </w:rPr>
                <w:t>7</w:t>
              </w:r>
            </w:hyperlink>
          </w:p>
        </w:tc>
      </w:tr>
      <w:tr w:rsidR="006A7630" w:rsidRPr="00095FC5" w14:paraId="5BE865A8" w14:textId="77777777" w:rsidTr="00CD1A83">
        <w:tc>
          <w:tcPr>
            <w:tcW w:w="419" w:type="dxa"/>
            <w:shd w:val="clear" w:color="auto" w:fill="auto"/>
          </w:tcPr>
          <w:p w14:paraId="0248222F" w14:textId="03C01C53" w:rsidR="006A7630" w:rsidRDefault="006A7630" w:rsidP="00122AD6">
            <w:pPr>
              <w:spacing w:before="40" w:after="40" w:line="260" w:lineRule="atLeast"/>
              <w:jc w:val="both"/>
              <w:rPr>
                <w:sz w:val="20"/>
              </w:rPr>
            </w:pPr>
          </w:p>
        </w:tc>
        <w:tc>
          <w:tcPr>
            <w:tcW w:w="3370" w:type="dxa"/>
            <w:shd w:val="clear" w:color="auto" w:fill="auto"/>
          </w:tcPr>
          <w:p w14:paraId="24540419" w14:textId="7A8D455C" w:rsidR="006A7630" w:rsidRDefault="006A7630" w:rsidP="00122AD6">
            <w:pPr>
              <w:spacing w:before="40" w:after="40" w:line="260" w:lineRule="atLeast"/>
              <w:rPr>
                <w:sz w:val="20"/>
              </w:rPr>
            </w:pPr>
            <w:r>
              <w:rPr>
                <w:sz w:val="20"/>
              </w:rPr>
              <w:t>Risk Register – full register</w:t>
            </w:r>
          </w:p>
        </w:tc>
        <w:tc>
          <w:tcPr>
            <w:tcW w:w="950" w:type="dxa"/>
            <w:shd w:val="clear" w:color="auto" w:fill="auto"/>
          </w:tcPr>
          <w:p w14:paraId="462DEE34" w14:textId="77777777" w:rsidR="006A7630" w:rsidRPr="00095FC5" w:rsidRDefault="006A7630" w:rsidP="00122AD6">
            <w:pPr>
              <w:spacing w:before="40" w:after="40" w:line="260" w:lineRule="atLeast"/>
              <w:jc w:val="both"/>
              <w:rPr>
                <w:sz w:val="20"/>
              </w:rPr>
            </w:pPr>
          </w:p>
        </w:tc>
        <w:tc>
          <w:tcPr>
            <w:tcW w:w="1303" w:type="dxa"/>
            <w:shd w:val="clear" w:color="auto" w:fill="auto"/>
          </w:tcPr>
          <w:p w14:paraId="6B18176E" w14:textId="77777777" w:rsidR="006A7630" w:rsidRPr="00095FC5" w:rsidRDefault="006A7630" w:rsidP="00122AD6">
            <w:pPr>
              <w:spacing w:before="40" w:after="40" w:line="260" w:lineRule="atLeast"/>
              <w:jc w:val="both"/>
              <w:rPr>
                <w:sz w:val="20"/>
              </w:rPr>
            </w:pPr>
          </w:p>
        </w:tc>
        <w:tc>
          <w:tcPr>
            <w:tcW w:w="3309" w:type="dxa"/>
            <w:shd w:val="clear" w:color="auto" w:fill="auto"/>
          </w:tcPr>
          <w:p w14:paraId="1647CF4C" w14:textId="77777777" w:rsidR="006A7630" w:rsidRDefault="006A7630" w:rsidP="00122AD6">
            <w:pPr>
              <w:spacing w:before="40" w:after="40" w:line="260" w:lineRule="atLeast"/>
              <w:rPr>
                <w:sz w:val="20"/>
              </w:rPr>
            </w:pPr>
          </w:p>
        </w:tc>
      </w:tr>
      <w:tr w:rsidR="006A7630" w:rsidRPr="00095FC5" w14:paraId="19768F96" w14:textId="77777777" w:rsidTr="00CD1A83">
        <w:tc>
          <w:tcPr>
            <w:tcW w:w="419" w:type="dxa"/>
            <w:shd w:val="clear" w:color="auto" w:fill="auto"/>
          </w:tcPr>
          <w:p w14:paraId="044B89EE" w14:textId="77777777" w:rsidR="006A7630" w:rsidRDefault="006A7630" w:rsidP="00122AD6">
            <w:pPr>
              <w:spacing w:before="40" w:after="40" w:line="260" w:lineRule="atLeast"/>
              <w:jc w:val="both"/>
              <w:rPr>
                <w:sz w:val="20"/>
              </w:rPr>
            </w:pPr>
          </w:p>
        </w:tc>
        <w:tc>
          <w:tcPr>
            <w:tcW w:w="3370" w:type="dxa"/>
            <w:shd w:val="clear" w:color="auto" w:fill="auto"/>
          </w:tcPr>
          <w:p w14:paraId="60F71BD1" w14:textId="6ECBBADC" w:rsidR="006A7630" w:rsidRDefault="006A7630" w:rsidP="00122AD6">
            <w:pPr>
              <w:spacing w:before="40" w:after="40" w:line="260" w:lineRule="atLeast"/>
              <w:rPr>
                <w:sz w:val="20"/>
              </w:rPr>
            </w:pPr>
            <w:r>
              <w:rPr>
                <w:sz w:val="20"/>
              </w:rPr>
              <w:t>Quality Plan</w:t>
            </w:r>
          </w:p>
        </w:tc>
        <w:tc>
          <w:tcPr>
            <w:tcW w:w="950" w:type="dxa"/>
            <w:shd w:val="clear" w:color="auto" w:fill="auto"/>
          </w:tcPr>
          <w:p w14:paraId="02F30F26" w14:textId="77777777" w:rsidR="006A7630" w:rsidRPr="00095FC5" w:rsidRDefault="006A7630" w:rsidP="00122AD6">
            <w:pPr>
              <w:spacing w:before="40" w:after="40" w:line="260" w:lineRule="atLeast"/>
              <w:jc w:val="both"/>
              <w:rPr>
                <w:sz w:val="20"/>
              </w:rPr>
            </w:pPr>
          </w:p>
        </w:tc>
        <w:tc>
          <w:tcPr>
            <w:tcW w:w="1303" w:type="dxa"/>
            <w:shd w:val="clear" w:color="auto" w:fill="auto"/>
          </w:tcPr>
          <w:p w14:paraId="4198DFB3" w14:textId="77777777" w:rsidR="006A7630" w:rsidRPr="00095FC5" w:rsidRDefault="006A7630" w:rsidP="00122AD6">
            <w:pPr>
              <w:spacing w:before="40" w:after="40" w:line="260" w:lineRule="atLeast"/>
              <w:jc w:val="both"/>
              <w:rPr>
                <w:sz w:val="20"/>
              </w:rPr>
            </w:pPr>
          </w:p>
        </w:tc>
        <w:tc>
          <w:tcPr>
            <w:tcW w:w="3309" w:type="dxa"/>
            <w:shd w:val="clear" w:color="auto" w:fill="auto"/>
          </w:tcPr>
          <w:p w14:paraId="20CAA708" w14:textId="77777777" w:rsidR="006A7630" w:rsidRDefault="006A7630" w:rsidP="00122AD6">
            <w:pPr>
              <w:spacing w:before="40" w:after="40" w:line="260" w:lineRule="atLeast"/>
              <w:rPr>
                <w:sz w:val="20"/>
              </w:rPr>
            </w:pPr>
          </w:p>
        </w:tc>
      </w:tr>
      <w:tr w:rsidR="006A7630" w:rsidRPr="00095FC5" w14:paraId="209F2537" w14:textId="77777777" w:rsidTr="00CD1A83">
        <w:tc>
          <w:tcPr>
            <w:tcW w:w="419" w:type="dxa"/>
            <w:shd w:val="clear" w:color="auto" w:fill="auto"/>
          </w:tcPr>
          <w:p w14:paraId="07999E92" w14:textId="77777777" w:rsidR="006A7630" w:rsidRDefault="006A7630" w:rsidP="00122AD6">
            <w:pPr>
              <w:spacing w:before="40" w:after="40" w:line="260" w:lineRule="atLeast"/>
              <w:jc w:val="both"/>
              <w:rPr>
                <w:sz w:val="20"/>
              </w:rPr>
            </w:pPr>
          </w:p>
        </w:tc>
        <w:tc>
          <w:tcPr>
            <w:tcW w:w="3370" w:type="dxa"/>
            <w:shd w:val="clear" w:color="auto" w:fill="auto"/>
          </w:tcPr>
          <w:p w14:paraId="2B64F62C" w14:textId="53DF7D1E" w:rsidR="006A7630" w:rsidRDefault="006A7630" w:rsidP="00122AD6">
            <w:pPr>
              <w:spacing w:before="40" w:after="40" w:line="260" w:lineRule="atLeast"/>
              <w:rPr>
                <w:sz w:val="20"/>
              </w:rPr>
            </w:pPr>
            <w:r>
              <w:rPr>
                <w:sz w:val="20"/>
              </w:rPr>
              <w:t>Assurance Plan</w:t>
            </w:r>
          </w:p>
        </w:tc>
        <w:tc>
          <w:tcPr>
            <w:tcW w:w="950" w:type="dxa"/>
            <w:shd w:val="clear" w:color="auto" w:fill="auto"/>
          </w:tcPr>
          <w:p w14:paraId="5B44B320" w14:textId="77777777" w:rsidR="006A7630" w:rsidRPr="00095FC5" w:rsidRDefault="006A7630" w:rsidP="00122AD6">
            <w:pPr>
              <w:spacing w:before="40" w:after="40" w:line="260" w:lineRule="atLeast"/>
              <w:jc w:val="both"/>
              <w:rPr>
                <w:sz w:val="20"/>
              </w:rPr>
            </w:pPr>
          </w:p>
        </w:tc>
        <w:tc>
          <w:tcPr>
            <w:tcW w:w="1303" w:type="dxa"/>
            <w:shd w:val="clear" w:color="auto" w:fill="auto"/>
          </w:tcPr>
          <w:p w14:paraId="7598B4DA" w14:textId="77777777" w:rsidR="006A7630" w:rsidRPr="00095FC5" w:rsidRDefault="006A7630" w:rsidP="00122AD6">
            <w:pPr>
              <w:spacing w:before="40" w:after="40" w:line="260" w:lineRule="atLeast"/>
              <w:jc w:val="both"/>
              <w:rPr>
                <w:sz w:val="20"/>
              </w:rPr>
            </w:pPr>
          </w:p>
        </w:tc>
        <w:tc>
          <w:tcPr>
            <w:tcW w:w="3309" w:type="dxa"/>
            <w:shd w:val="clear" w:color="auto" w:fill="auto"/>
          </w:tcPr>
          <w:p w14:paraId="7E5F146A" w14:textId="77777777" w:rsidR="006A7630" w:rsidRDefault="006A7630" w:rsidP="00122AD6">
            <w:pPr>
              <w:spacing w:before="40" w:after="40" w:line="260" w:lineRule="atLeast"/>
              <w:jc w:val="both"/>
              <w:rPr>
                <w:sz w:val="20"/>
              </w:rPr>
            </w:pPr>
          </w:p>
        </w:tc>
      </w:tr>
    </w:tbl>
    <w:p w14:paraId="3483F37E" w14:textId="77777777" w:rsidR="00CD38D1" w:rsidRDefault="00CD38D1" w:rsidP="00F63986">
      <w:pPr>
        <w:rPr>
          <w:rStyle w:val="Emphasis"/>
          <w:color w:val="000000"/>
          <w:highlight w:val="yellow"/>
        </w:rPr>
      </w:pPr>
    </w:p>
    <w:p w14:paraId="4520FF8A" w14:textId="77777777" w:rsidR="001A1A48" w:rsidRDefault="001A1A48" w:rsidP="00F63986">
      <w:pPr>
        <w:rPr>
          <w:rStyle w:val="Emphasis"/>
          <w:color w:val="000000"/>
          <w:highlight w:val="yellow"/>
        </w:rPr>
        <w:sectPr w:rsidR="001A1A48" w:rsidSect="006F0D20">
          <w:headerReference w:type="even" r:id="rId27"/>
          <w:footerReference w:type="default" r:id="rId28"/>
          <w:pgSz w:w="11907" w:h="16840" w:code="9"/>
          <w:pgMar w:top="1276" w:right="1134" w:bottom="992" w:left="1418" w:header="454" w:footer="454" w:gutter="0"/>
          <w:pgNumType w:start="1"/>
          <w:cols w:space="720"/>
          <w:docGrid w:linePitch="360"/>
        </w:sectPr>
      </w:pPr>
    </w:p>
    <w:p w14:paraId="6825A198" w14:textId="1868FF69" w:rsidR="00551C98" w:rsidRPr="006E4FDB" w:rsidRDefault="00A61F25" w:rsidP="006E4FDB">
      <w:pPr>
        <w:pStyle w:val="Heading1"/>
        <w:rPr>
          <w:rStyle w:val="Emphasis"/>
          <w:i w:val="0"/>
          <w:iCs w:val="0"/>
          <w:color w:val="002469"/>
          <w:sz w:val="36"/>
        </w:rPr>
      </w:pPr>
      <w:bookmarkStart w:id="102" w:name="_Annex_2:"/>
      <w:bookmarkStart w:id="103" w:name="_Annex_3:_Benefits"/>
      <w:bookmarkStart w:id="104" w:name="_Annex_3:_Updated"/>
      <w:bookmarkStart w:id="105" w:name="_Toc50549004"/>
      <w:bookmarkEnd w:id="102"/>
      <w:bookmarkEnd w:id="103"/>
      <w:bookmarkEnd w:id="104"/>
      <w:r w:rsidRPr="006E4FDB">
        <w:rPr>
          <w:rStyle w:val="Emphasis"/>
          <w:i w:val="0"/>
          <w:iCs w:val="0"/>
          <w:color w:val="002469"/>
          <w:sz w:val="36"/>
        </w:rPr>
        <w:t xml:space="preserve">Annex </w:t>
      </w:r>
      <w:r w:rsidR="00CD38D1" w:rsidRPr="006E4FDB">
        <w:rPr>
          <w:rStyle w:val="Emphasis"/>
          <w:i w:val="0"/>
          <w:iCs w:val="0"/>
          <w:color w:val="002469"/>
          <w:sz w:val="36"/>
        </w:rPr>
        <w:t>3</w:t>
      </w:r>
      <w:r w:rsidRPr="006E4FDB">
        <w:rPr>
          <w:rStyle w:val="Emphasis"/>
          <w:i w:val="0"/>
          <w:iCs w:val="0"/>
          <w:color w:val="002469"/>
          <w:sz w:val="36"/>
        </w:rPr>
        <w:t>:</w:t>
      </w:r>
      <w:r w:rsidR="009C0616" w:rsidRPr="006E4FDB">
        <w:rPr>
          <w:rStyle w:val="Emphasis"/>
          <w:i w:val="0"/>
          <w:iCs w:val="0"/>
          <w:color w:val="002469"/>
          <w:sz w:val="36"/>
        </w:rPr>
        <w:t xml:space="preserve"> </w:t>
      </w:r>
      <w:r w:rsidR="00551C98" w:rsidRPr="006E4FDB">
        <w:rPr>
          <w:rStyle w:val="Emphasis"/>
          <w:i w:val="0"/>
          <w:iCs w:val="0"/>
          <w:color w:val="002469"/>
          <w:sz w:val="36"/>
        </w:rPr>
        <w:t>Updated Economic Analysis</w:t>
      </w:r>
      <w:bookmarkEnd w:id="105"/>
    </w:p>
    <w:p w14:paraId="0F1B1D57" w14:textId="77777777" w:rsidR="001B42CB" w:rsidRPr="001B42CB" w:rsidRDefault="001B42CB" w:rsidP="001B42CB"/>
    <w:p w14:paraId="4B5D35AB" w14:textId="51E0CBBE" w:rsidR="001B42CB" w:rsidRDefault="001B42CB" w:rsidP="001B42CB"/>
    <w:p w14:paraId="05293FD4" w14:textId="77777777" w:rsidR="001B42CB" w:rsidRDefault="001B42CB" w:rsidP="001B42CB">
      <w:pPr>
        <w:sectPr w:rsidR="001B42CB" w:rsidSect="00140B2F">
          <w:footerReference w:type="even" r:id="rId29"/>
          <w:pgSz w:w="16840" w:h="11907" w:orient="landscape" w:code="9"/>
          <w:pgMar w:top="1418" w:right="1276" w:bottom="1418" w:left="992" w:header="454" w:footer="454" w:gutter="0"/>
          <w:cols w:space="720"/>
          <w:docGrid w:linePitch="360"/>
        </w:sectPr>
      </w:pPr>
    </w:p>
    <w:p w14:paraId="6AE31C1F" w14:textId="226BE2C0" w:rsidR="00883FF1" w:rsidRPr="006E4FDB" w:rsidRDefault="001B42CB" w:rsidP="006E4FDB">
      <w:pPr>
        <w:pStyle w:val="Heading1"/>
        <w:rPr>
          <w:rStyle w:val="Emphasis"/>
          <w:i w:val="0"/>
          <w:iCs w:val="0"/>
          <w:color w:val="002469"/>
          <w:sz w:val="36"/>
        </w:rPr>
      </w:pPr>
      <w:bookmarkStart w:id="106" w:name="_Annex_4:_full"/>
      <w:bookmarkStart w:id="107" w:name="_Annex_4:_Detailed"/>
      <w:bookmarkStart w:id="108" w:name="_Toc50549005"/>
      <w:bookmarkEnd w:id="106"/>
      <w:bookmarkEnd w:id="107"/>
      <w:r w:rsidRPr="006E4FDB">
        <w:rPr>
          <w:rStyle w:val="Emphasis"/>
          <w:i w:val="0"/>
          <w:iCs w:val="0"/>
          <w:color w:val="002469"/>
          <w:sz w:val="36"/>
        </w:rPr>
        <w:t xml:space="preserve">Annex 4: </w:t>
      </w:r>
      <w:r w:rsidR="00883FF1" w:rsidRPr="006E4FDB">
        <w:rPr>
          <w:rStyle w:val="Emphasis"/>
          <w:i w:val="0"/>
          <w:iCs w:val="0"/>
          <w:color w:val="002469"/>
          <w:sz w:val="36"/>
        </w:rPr>
        <w:t>Detailed Risk Allocation Schedule</w:t>
      </w:r>
      <w:bookmarkEnd w:id="108"/>
    </w:p>
    <w:p w14:paraId="604F64AA" w14:textId="5B8B90C8" w:rsidR="00883FF1" w:rsidRPr="00CD1A83" w:rsidRDefault="00883FF1" w:rsidP="00CD1A83">
      <w:pPr>
        <w:pStyle w:val="TableText"/>
        <w:spacing w:before="0" w:after="120" w:line="260" w:lineRule="atLeast"/>
        <w:rPr>
          <w:i/>
          <w:iCs/>
          <w:color w:val="0000FF"/>
          <w:sz w:val="22"/>
        </w:rPr>
      </w:pPr>
      <w:r w:rsidRPr="00CD1A83">
        <w:rPr>
          <w:i/>
          <w:iCs/>
          <w:color w:val="0000FF"/>
          <w:sz w:val="22"/>
        </w:rPr>
        <w:t xml:space="preserve">Mandatory for PPP projects only; Table showing risk transfer in Design, Build, </w:t>
      </w:r>
      <w:proofErr w:type="gramStart"/>
      <w:r w:rsidRPr="00CD1A83">
        <w:rPr>
          <w:i/>
          <w:iCs/>
          <w:color w:val="0000FF"/>
          <w:sz w:val="22"/>
        </w:rPr>
        <w:t>Finance</w:t>
      </w:r>
      <w:proofErr w:type="gramEnd"/>
      <w:r w:rsidR="00484660" w:rsidRPr="00CD1A83">
        <w:rPr>
          <w:i/>
          <w:iCs/>
          <w:color w:val="0000FF"/>
          <w:sz w:val="22"/>
        </w:rPr>
        <w:t xml:space="preserve"> and </w:t>
      </w:r>
      <w:r w:rsidRPr="00CD1A83">
        <w:rPr>
          <w:i/>
          <w:iCs/>
          <w:color w:val="0000FF"/>
          <w:sz w:val="22"/>
        </w:rPr>
        <w:t>Operate</w:t>
      </w:r>
      <w:r w:rsidR="00484660" w:rsidRPr="00CD1A83">
        <w:rPr>
          <w:i/>
          <w:iCs/>
          <w:color w:val="0000FF"/>
          <w:sz w:val="22"/>
        </w:rPr>
        <w:t>/Performance</w:t>
      </w:r>
      <w:r w:rsidRPr="00CD1A83">
        <w:rPr>
          <w:i/>
          <w:iCs/>
          <w:color w:val="0000FF"/>
          <w:sz w:val="22"/>
        </w:rPr>
        <w:t xml:space="preserve"> stages:</w:t>
      </w:r>
    </w:p>
    <w:p w14:paraId="59B17220" w14:textId="1B6582DB" w:rsidR="00484660" w:rsidRPr="00CD1A83" w:rsidRDefault="00883FF1" w:rsidP="00CD1A83">
      <w:pPr>
        <w:pStyle w:val="TableText"/>
        <w:numPr>
          <w:ilvl w:val="0"/>
          <w:numId w:val="21"/>
        </w:numPr>
        <w:spacing w:before="0" w:after="120" w:line="260" w:lineRule="atLeast"/>
        <w:ind w:left="306" w:hanging="306"/>
        <w:rPr>
          <w:i/>
          <w:iCs/>
          <w:color w:val="0000FF"/>
          <w:sz w:val="22"/>
        </w:rPr>
      </w:pPr>
      <w:r w:rsidRPr="00CD1A83">
        <w:rPr>
          <w:i/>
          <w:iCs/>
          <w:color w:val="0000FF"/>
          <w:sz w:val="22"/>
        </w:rPr>
        <w:t>If the supplier is better able to influence the outcome than the purchaser; where the supplier has clear ownership, responsibility and control</w:t>
      </w:r>
    </w:p>
    <w:p w14:paraId="14E66557" w14:textId="77777777" w:rsidR="00484660" w:rsidRPr="00CD1A83" w:rsidRDefault="00484660" w:rsidP="00CD1A83">
      <w:pPr>
        <w:pStyle w:val="TableText"/>
        <w:spacing w:before="0" w:after="120" w:line="260" w:lineRule="atLeast"/>
        <w:rPr>
          <w:i/>
          <w:iCs/>
          <w:color w:val="0000FF"/>
          <w:sz w:val="22"/>
        </w:rPr>
      </w:pPr>
      <w:r w:rsidRPr="00CD1A83">
        <w:rPr>
          <w:rStyle w:val="Emphasis"/>
          <w:i w:val="0"/>
          <w:sz w:val="22"/>
        </w:rPr>
        <w:t>The risks related to contracted services (design, build, transition and operational/ performance) are agreed to be apportioned to the preferred suppliers as follows:</w:t>
      </w:r>
      <w:r w:rsidRPr="00CD1A83">
        <w:rPr>
          <w:i/>
          <w:iCs/>
          <w:color w:val="0000FF"/>
          <w:sz w:val="22"/>
        </w:rPr>
        <w:t xml:space="preserve"> show risk transfer in Design, Build, Finance, and Operate stages, if the supplier is better able to influence the outcome than the purchaser; where the supplier has clear ownership, responsibility and control.</w:t>
      </w:r>
    </w:p>
    <w:p w14:paraId="4B861786" w14:textId="183B4105" w:rsidR="00484660" w:rsidRPr="00CD1A83" w:rsidRDefault="00484660" w:rsidP="00CD1A83">
      <w:pPr>
        <w:spacing w:line="260" w:lineRule="atLeast"/>
        <w:rPr>
          <w:i/>
          <w:iCs/>
          <w:color w:val="0000FF"/>
          <w:szCs w:val="22"/>
        </w:rPr>
      </w:pPr>
      <w:r w:rsidRPr="00CD1A83">
        <w:rPr>
          <w:i/>
          <w:iCs/>
          <w:color w:val="0000FF"/>
          <w:szCs w:val="22"/>
        </w:rPr>
        <w:t xml:space="preserve"> –</w:t>
      </w:r>
      <w:r w:rsidR="00EB4B68" w:rsidRPr="00CD1A83">
        <w:rPr>
          <w:i/>
          <w:iCs/>
          <w:color w:val="0000FF"/>
          <w:szCs w:val="22"/>
        </w:rPr>
        <w:t xml:space="preserve"> </w:t>
      </w:r>
      <w:proofErr w:type="gramStart"/>
      <w:r w:rsidR="00EB4B68" w:rsidRPr="00CD1A83">
        <w:rPr>
          <w:i/>
          <w:iCs/>
          <w:color w:val="0000FF"/>
          <w:szCs w:val="22"/>
        </w:rPr>
        <w:t>or</w:t>
      </w:r>
      <w:proofErr w:type="gramEnd"/>
      <w:r w:rsidR="00EB4B68" w:rsidRPr="00CD1A83">
        <w:rPr>
          <w:i/>
          <w:iCs/>
          <w:color w:val="0000FF"/>
          <w:szCs w:val="22"/>
        </w:rPr>
        <w:t xml:space="preserve"> – </w:t>
      </w:r>
    </w:p>
    <w:p w14:paraId="7ECA2FE3" w14:textId="2469CCE4" w:rsidR="00484660" w:rsidRPr="00CD1A83" w:rsidRDefault="00EB4B68" w:rsidP="00CD1A83">
      <w:pPr>
        <w:spacing w:line="260" w:lineRule="atLeast"/>
        <w:rPr>
          <w:i/>
          <w:iCs/>
          <w:color w:val="0000FF"/>
          <w:szCs w:val="22"/>
        </w:rPr>
      </w:pPr>
      <w:r w:rsidRPr="00CD1A83">
        <w:rPr>
          <w:i/>
          <w:iCs/>
          <w:color w:val="0000FF"/>
          <w:szCs w:val="22"/>
        </w:rPr>
        <w:t>(</w:t>
      </w:r>
      <w:proofErr w:type="gramStart"/>
      <w:r w:rsidRPr="00CD1A83">
        <w:rPr>
          <w:i/>
          <w:iCs/>
          <w:color w:val="0000FF"/>
          <w:szCs w:val="22"/>
        </w:rPr>
        <w:t>if</w:t>
      </w:r>
      <w:proofErr w:type="gramEnd"/>
      <w:r w:rsidRPr="00CD1A83">
        <w:rPr>
          <w:i/>
          <w:iCs/>
          <w:color w:val="0000FF"/>
          <w:szCs w:val="22"/>
        </w:rPr>
        <w:t xml:space="preserve"> the Risk Allocation schedule is straightforward or short (under a page) put it in the body of the business case and </w:t>
      </w:r>
      <w:r w:rsidR="00484660" w:rsidRPr="00CD1A83">
        <w:rPr>
          <w:i/>
          <w:iCs/>
          <w:color w:val="0000FF"/>
          <w:szCs w:val="22"/>
        </w:rPr>
        <w:t>state here (so you don’t need to renumber all later annexes and references to them).</w:t>
      </w:r>
    </w:p>
    <w:p w14:paraId="79771AB5" w14:textId="286A8255" w:rsidR="00EB4B68" w:rsidRPr="00CD1A83" w:rsidRDefault="00484660" w:rsidP="00CD1A83">
      <w:pPr>
        <w:spacing w:line="260" w:lineRule="atLeast"/>
        <w:rPr>
          <w:szCs w:val="22"/>
        </w:rPr>
      </w:pPr>
      <w:r w:rsidRPr="00CD1A83">
        <w:rPr>
          <w:szCs w:val="22"/>
        </w:rPr>
        <w:t xml:space="preserve">The </w:t>
      </w:r>
      <w:hyperlink w:anchor="_Negotiated_risk_allocation" w:history="1">
        <w:r w:rsidR="00EB4B68" w:rsidRPr="00CD1A83">
          <w:rPr>
            <w:rStyle w:val="Hyperlink"/>
            <w:szCs w:val="22"/>
          </w:rPr>
          <w:t>Risk Allocation table</w:t>
        </w:r>
      </w:hyperlink>
      <w:r w:rsidR="00EB4B68" w:rsidRPr="00CD1A83">
        <w:rPr>
          <w:szCs w:val="22"/>
        </w:rPr>
        <w:t xml:space="preserve"> </w:t>
      </w:r>
      <w:r w:rsidRPr="00CD1A83">
        <w:rPr>
          <w:szCs w:val="22"/>
        </w:rPr>
        <w:t>is provided in the Commercial case.</w:t>
      </w:r>
    </w:p>
    <w:p w14:paraId="2F1CD767" w14:textId="7A7A5E30" w:rsidR="001B42CB" w:rsidRPr="006E4FDB" w:rsidRDefault="00883FF1" w:rsidP="006E4FDB">
      <w:pPr>
        <w:pStyle w:val="Heading1"/>
        <w:rPr>
          <w:rStyle w:val="Emphasis"/>
          <w:i w:val="0"/>
          <w:iCs w:val="0"/>
          <w:color w:val="002469"/>
          <w:sz w:val="36"/>
        </w:rPr>
      </w:pPr>
      <w:bookmarkStart w:id="109" w:name="_Annex_5:_Full"/>
      <w:bookmarkStart w:id="110" w:name="_Toc50549006"/>
      <w:bookmarkEnd w:id="109"/>
      <w:r w:rsidRPr="006E4FDB">
        <w:rPr>
          <w:rStyle w:val="Emphasis"/>
          <w:i w:val="0"/>
          <w:iCs w:val="0"/>
          <w:color w:val="002469"/>
          <w:sz w:val="36"/>
        </w:rPr>
        <w:t>Annex 5: F</w:t>
      </w:r>
      <w:r w:rsidR="001B42CB" w:rsidRPr="006E4FDB">
        <w:rPr>
          <w:rStyle w:val="Emphasis"/>
          <w:i w:val="0"/>
          <w:iCs w:val="0"/>
          <w:color w:val="002469"/>
          <w:sz w:val="36"/>
        </w:rPr>
        <w:t>ull list of financial assumptions</w:t>
      </w:r>
      <w:bookmarkEnd w:id="110"/>
    </w:p>
    <w:p w14:paraId="15AF0A53" w14:textId="77777777" w:rsidR="00EC0A04" w:rsidRPr="00EC0A04" w:rsidRDefault="00EC0A04" w:rsidP="00EC0A04"/>
    <w:p w14:paraId="47CBB514" w14:textId="6CEE9DB3" w:rsidR="001B42CB" w:rsidRDefault="001B42CB" w:rsidP="001B42CB"/>
    <w:p w14:paraId="45D11F9A" w14:textId="77777777" w:rsidR="001B42CB" w:rsidRDefault="001B42CB" w:rsidP="001B42CB">
      <w:pPr>
        <w:sectPr w:rsidR="001B42CB" w:rsidSect="001B42CB">
          <w:pgSz w:w="11907" w:h="16840" w:code="9"/>
          <w:pgMar w:top="1276" w:right="1418" w:bottom="992" w:left="1418" w:header="454" w:footer="454" w:gutter="0"/>
          <w:cols w:space="720"/>
          <w:docGrid w:linePitch="360"/>
        </w:sectPr>
      </w:pPr>
    </w:p>
    <w:p w14:paraId="1DF83803" w14:textId="547811A7" w:rsidR="00C719CB" w:rsidRPr="006E4FDB" w:rsidRDefault="001B42CB" w:rsidP="006E4FDB">
      <w:pPr>
        <w:pStyle w:val="Heading1"/>
        <w:rPr>
          <w:rStyle w:val="Emphasis"/>
          <w:i w:val="0"/>
          <w:iCs w:val="0"/>
          <w:color w:val="002469"/>
          <w:sz w:val="36"/>
        </w:rPr>
      </w:pPr>
      <w:bookmarkStart w:id="111" w:name="_Benefits_Realisation_Plan"/>
      <w:bookmarkStart w:id="112" w:name="_Annex_5:_Benefits"/>
      <w:bookmarkStart w:id="113" w:name="_Annex_6:_Benefits"/>
      <w:bookmarkStart w:id="114" w:name="_Toc50549007"/>
      <w:bookmarkEnd w:id="111"/>
      <w:bookmarkEnd w:id="112"/>
      <w:bookmarkEnd w:id="113"/>
      <w:r w:rsidRPr="006E4FDB">
        <w:rPr>
          <w:rStyle w:val="Emphasis"/>
          <w:i w:val="0"/>
          <w:iCs w:val="0"/>
          <w:color w:val="002469"/>
          <w:sz w:val="36"/>
        </w:rPr>
        <w:t xml:space="preserve">Annex </w:t>
      </w:r>
      <w:r w:rsidR="00722080" w:rsidRPr="006E4FDB">
        <w:rPr>
          <w:rStyle w:val="Emphasis"/>
          <w:i w:val="0"/>
          <w:iCs w:val="0"/>
          <w:color w:val="002469"/>
          <w:sz w:val="36"/>
        </w:rPr>
        <w:t>6</w:t>
      </w:r>
      <w:r w:rsidRPr="006E4FDB">
        <w:rPr>
          <w:rStyle w:val="Emphasis"/>
          <w:i w:val="0"/>
          <w:iCs w:val="0"/>
          <w:color w:val="002469"/>
          <w:sz w:val="36"/>
        </w:rPr>
        <w:t>: B</w:t>
      </w:r>
      <w:r w:rsidR="009C0616" w:rsidRPr="006E4FDB">
        <w:rPr>
          <w:rStyle w:val="Emphasis"/>
          <w:i w:val="0"/>
          <w:iCs w:val="0"/>
          <w:color w:val="002469"/>
          <w:sz w:val="36"/>
        </w:rPr>
        <w:t>enefits Realisation Plan (BRP)</w:t>
      </w:r>
      <w:bookmarkEnd w:id="114"/>
    </w:p>
    <w:p w14:paraId="56898DA0" w14:textId="1EED5A9E" w:rsidR="007D2D83" w:rsidRPr="007D2D83" w:rsidRDefault="007D2D83" w:rsidP="007D2D83"/>
    <w:p w14:paraId="760B185A" w14:textId="77777777" w:rsidR="00A61F25" w:rsidRDefault="00A61F25" w:rsidP="00F63986">
      <w:pPr>
        <w:rPr>
          <w:rStyle w:val="Emphasis"/>
          <w:color w:val="000000"/>
        </w:rPr>
      </w:pPr>
    </w:p>
    <w:p w14:paraId="22B21DBF" w14:textId="77777777" w:rsidR="00A61F25" w:rsidRDefault="00A61F25" w:rsidP="00F63986">
      <w:pPr>
        <w:rPr>
          <w:rStyle w:val="Emphasis"/>
          <w:color w:val="000000"/>
        </w:rPr>
        <w:sectPr w:rsidR="00A61F25" w:rsidSect="00140B2F">
          <w:pgSz w:w="16840" w:h="11907" w:orient="landscape" w:code="9"/>
          <w:pgMar w:top="1418" w:right="1276" w:bottom="1418" w:left="992" w:header="454" w:footer="454" w:gutter="0"/>
          <w:cols w:space="720"/>
          <w:docGrid w:linePitch="360"/>
        </w:sectPr>
      </w:pPr>
    </w:p>
    <w:p w14:paraId="7815F370" w14:textId="3D5F611D" w:rsidR="00C8560D" w:rsidRPr="006E4FDB" w:rsidRDefault="00C8560D" w:rsidP="006E4FDB">
      <w:pPr>
        <w:pStyle w:val="Heading1"/>
        <w:rPr>
          <w:rStyle w:val="Emphasis"/>
          <w:i w:val="0"/>
          <w:iCs w:val="0"/>
          <w:color w:val="002469"/>
          <w:sz w:val="36"/>
        </w:rPr>
      </w:pPr>
      <w:bookmarkStart w:id="115" w:name="_Annex_6:_Top"/>
      <w:bookmarkStart w:id="116" w:name="_Annex_7:_Top"/>
      <w:bookmarkStart w:id="117" w:name="_Toc50549008"/>
      <w:bookmarkEnd w:id="115"/>
      <w:bookmarkEnd w:id="116"/>
      <w:r w:rsidRPr="006E4FDB">
        <w:rPr>
          <w:rStyle w:val="Emphasis"/>
          <w:i w:val="0"/>
          <w:iCs w:val="0"/>
          <w:color w:val="002469"/>
          <w:sz w:val="36"/>
        </w:rPr>
        <w:t xml:space="preserve">Annex </w:t>
      </w:r>
      <w:r w:rsidR="00722080" w:rsidRPr="006E4FDB">
        <w:rPr>
          <w:rStyle w:val="Emphasis"/>
          <w:i w:val="0"/>
          <w:iCs w:val="0"/>
          <w:color w:val="002469"/>
          <w:sz w:val="36"/>
        </w:rPr>
        <w:t>7</w:t>
      </w:r>
      <w:r w:rsidRPr="006E4FDB">
        <w:rPr>
          <w:rStyle w:val="Emphasis"/>
          <w:i w:val="0"/>
          <w:iCs w:val="0"/>
          <w:color w:val="002469"/>
          <w:sz w:val="36"/>
        </w:rPr>
        <w:t xml:space="preserve">: Top </w:t>
      </w:r>
      <w:r w:rsidRPr="006E4FDB">
        <w:rPr>
          <w:rStyle w:val="Emphasis"/>
          <w:i w:val="0"/>
          <w:iCs w:val="0"/>
          <w:color w:val="002469"/>
          <w:sz w:val="36"/>
          <w:highlight w:val="yellow"/>
        </w:rPr>
        <w:t>20</w:t>
      </w:r>
      <w:r w:rsidRPr="006E4FDB">
        <w:rPr>
          <w:rStyle w:val="Emphasis"/>
          <w:i w:val="0"/>
          <w:iCs w:val="0"/>
          <w:color w:val="002469"/>
          <w:sz w:val="36"/>
        </w:rPr>
        <w:t xml:space="preserve"> current risks</w:t>
      </w:r>
      <w:bookmarkEnd w:id="117"/>
    </w:p>
    <w:p w14:paraId="7D28FC08" w14:textId="3AAAD87A" w:rsidR="00C8560D" w:rsidRDefault="00681F58" w:rsidP="00CD1A83">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6"/>
        <w:spacing w:line="260" w:lineRule="atLeast"/>
        <w:rPr>
          <w:rStyle w:val="Emphasis"/>
        </w:rPr>
      </w:pPr>
      <w:r>
        <w:rPr>
          <w:rStyle w:val="Emphasis"/>
        </w:rPr>
        <w:t xml:space="preserve">Include here an extract from the Risk Register of the top (20) risks specific to the </w:t>
      </w:r>
      <w:r w:rsidRPr="00681F58">
        <w:rPr>
          <w:rStyle w:val="Emphasis"/>
        </w:rPr>
        <w:t>project</w:t>
      </w:r>
      <w:r>
        <w:rPr>
          <w:rStyle w:val="Emphasis"/>
        </w:rPr>
        <w:t xml:space="preserve"> risks (ie don’t include generic risks (earthquake, tsunami etc.)</w:t>
      </w:r>
    </w:p>
    <w:p w14:paraId="473F9151" w14:textId="768A2CCB" w:rsidR="00681F58" w:rsidRDefault="00681F58" w:rsidP="00681F58">
      <w:pPr>
        <w:spacing w:line="260" w:lineRule="atLeast"/>
        <w:rPr>
          <w:rStyle w:val="Emphasis"/>
        </w:rPr>
      </w:pPr>
    </w:p>
    <w:p w14:paraId="2DE570F1" w14:textId="2A9D1966" w:rsidR="002E0C67" w:rsidRDefault="002E0C67" w:rsidP="00681F58">
      <w:pPr>
        <w:spacing w:line="260" w:lineRule="atLeast"/>
        <w:rPr>
          <w:rStyle w:val="Emphasis"/>
        </w:rPr>
      </w:pPr>
    </w:p>
    <w:p w14:paraId="67E42FB9" w14:textId="1BEAAD3E" w:rsidR="002E0C67" w:rsidRDefault="002E0C67" w:rsidP="00681F58">
      <w:pPr>
        <w:spacing w:line="260" w:lineRule="atLeast"/>
        <w:rPr>
          <w:rStyle w:val="Emphasis"/>
        </w:rPr>
      </w:pPr>
    </w:p>
    <w:p w14:paraId="1504E1CB" w14:textId="2F59ECD5" w:rsidR="002E0C67" w:rsidRDefault="002E0C67" w:rsidP="00681F58">
      <w:pPr>
        <w:spacing w:line="260" w:lineRule="atLeast"/>
        <w:rPr>
          <w:rStyle w:val="Emphasis"/>
        </w:rPr>
      </w:pPr>
    </w:p>
    <w:p w14:paraId="27DF613A" w14:textId="3404D868" w:rsidR="002E0C67" w:rsidRDefault="002E0C67" w:rsidP="00681F58">
      <w:pPr>
        <w:spacing w:line="260" w:lineRule="atLeast"/>
        <w:rPr>
          <w:rStyle w:val="Emphasis"/>
        </w:rPr>
      </w:pPr>
    </w:p>
    <w:p w14:paraId="38EEE9B8" w14:textId="5F43CA1D" w:rsidR="002E0C67" w:rsidRDefault="002E0C67" w:rsidP="00681F58">
      <w:pPr>
        <w:spacing w:line="260" w:lineRule="atLeast"/>
        <w:rPr>
          <w:rStyle w:val="Emphasis"/>
        </w:rPr>
      </w:pPr>
    </w:p>
    <w:p w14:paraId="46AD987F" w14:textId="5C964B40" w:rsidR="002E0C67" w:rsidRDefault="002E0C67" w:rsidP="00681F58">
      <w:pPr>
        <w:spacing w:line="260" w:lineRule="atLeast"/>
        <w:rPr>
          <w:rStyle w:val="Emphasis"/>
        </w:rPr>
      </w:pPr>
    </w:p>
    <w:p w14:paraId="0CD1B364" w14:textId="3EFFDD52" w:rsidR="002E0C67" w:rsidRDefault="002E0C67" w:rsidP="00681F58">
      <w:pPr>
        <w:spacing w:line="260" w:lineRule="atLeast"/>
        <w:rPr>
          <w:rStyle w:val="Emphasis"/>
        </w:rPr>
      </w:pPr>
    </w:p>
    <w:p w14:paraId="78DA65E2" w14:textId="31991A78" w:rsidR="002E0C67" w:rsidRDefault="002E0C67" w:rsidP="00681F58">
      <w:pPr>
        <w:spacing w:line="260" w:lineRule="atLeast"/>
        <w:rPr>
          <w:rStyle w:val="Emphasis"/>
        </w:rPr>
      </w:pPr>
    </w:p>
    <w:p w14:paraId="59992CD5" w14:textId="5C8390C2" w:rsidR="002E0C67" w:rsidRDefault="002E0C67" w:rsidP="00681F58">
      <w:pPr>
        <w:spacing w:line="260" w:lineRule="atLeast"/>
        <w:rPr>
          <w:rStyle w:val="Emphasis"/>
        </w:rPr>
      </w:pPr>
    </w:p>
    <w:p w14:paraId="3E554EE6" w14:textId="0F855AD8" w:rsidR="002E0C67" w:rsidRDefault="002E0C67" w:rsidP="00681F58">
      <w:pPr>
        <w:spacing w:line="260" w:lineRule="atLeast"/>
        <w:rPr>
          <w:rStyle w:val="Emphasis"/>
        </w:rPr>
      </w:pPr>
    </w:p>
    <w:p w14:paraId="09FACE70" w14:textId="77777777" w:rsidR="002E0C67" w:rsidRDefault="002E0C67" w:rsidP="00681F58">
      <w:pPr>
        <w:spacing w:line="260" w:lineRule="atLeast"/>
        <w:rPr>
          <w:rStyle w:val="Emphasis"/>
        </w:rPr>
      </w:pPr>
    </w:p>
    <w:bookmarkEnd w:id="42"/>
    <w:bookmarkEnd w:id="43"/>
    <w:bookmarkEnd w:id="44"/>
    <w:p w14:paraId="4D4EB3EE" w14:textId="77777777" w:rsidR="008365D1" w:rsidRDefault="00CC7729" w:rsidP="00F63986">
      <w:pPr>
        <w:pStyle w:val="ListParagraph"/>
        <w:numPr>
          <w:ilvl w:val="0"/>
          <w:numId w:val="0"/>
        </w:numPr>
        <w:pBdr>
          <w:top w:val="single" w:sz="4" w:space="4" w:color="F2F2F2"/>
          <w:left w:val="single" w:sz="4" w:space="4" w:color="F2F2F2"/>
          <w:bottom w:val="single" w:sz="4" w:space="8" w:color="F2F2F2"/>
          <w:right w:val="single" w:sz="4" w:space="4" w:color="F2F2F2"/>
        </w:pBdr>
        <w:jc w:val="center"/>
        <w:rPr>
          <w:rStyle w:val="Emphasis"/>
          <w:b/>
          <w:highlight w:val="yellow"/>
        </w:rPr>
      </w:pPr>
      <w:r w:rsidRPr="008365D1">
        <w:rPr>
          <w:rStyle w:val="Emphasis"/>
          <w:b/>
          <w:highlight w:val="yellow"/>
        </w:rPr>
        <w:t xml:space="preserve">End of </w:t>
      </w:r>
      <w:r w:rsidR="00D6597B">
        <w:rPr>
          <w:rStyle w:val="Emphasis"/>
          <w:b/>
          <w:highlight w:val="yellow"/>
        </w:rPr>
        <w:t>Implementation</w:t>
      </w:r>
      <w:r w:rsidR="000915F7">
        <w:rPr>
          <w:rStyle w:val="Emphasis"/>
          <w:b/>
          <w:highlight w:val="yellow"/>
        </w:rPr>
        <w:t xml:space="preserve"> Business Case</w:t>
      </w:r>
      <w:r w:rsidRPr="008365D1">
        <w:rPr>
          <w:rStyle w:val="Emphasis"/>
          <w:b/>
          <w:highlight w:val="yellow"/>
        </w:rPr>
        <w:t xml:space="preserve"> template</w:t>
      </w:r>
      <w:r w:rsidR="003F7F97">
        <w:rPr>
          <w:rStyle w:val="Emphasis"/>
          <w:b/>
          <w:highlight w:val="yellow"/>
        </w:rPr>
        <w:t xml:space="preserve">. </w:t>
      </w:r>
    </w:p>
    <w:p w14:paraId="5F59A287" w14:textId="53142C14" w:rsidR="00CC7729" w:rsidRPr="008365D1" w:rsidRDefault="00CC7729" w:rsidP="00F63986">
      <w:pPr>
        <w:pStyle w:val="ListParagraph"/>
        <w:numPr>
          <w:ilvl w:val="0"/>
          <w:numId w:val="0"/>
        </w:numPr>
        <w:pBdr>
          <w:top w:val="single" w:sz="4" w:space="4" w:color="F2F2F2"/>
          <w:left w:val="single" w:sz="4" w:space="4" w:color="F2F2F2"/>
          <w:bottom w:val="single" w:sz="4" w:space="8" w:color="F2F2F2"/>
          <w:right w:val="single" w:sz="4" w:space="4" w:color="F2F2F2"/>
        </w:pBdr>
        <w:jc w:val="center"/>
        <w:rPr>
          <w:rStyle w:val="Emphasis"/>
          <w:b/>
          <w:i w:val="0"/>
          <w:iCs w:val="0"/>
        </w:rPr>
      </w:pPr>
      <w:r w:rsidRPr="008365D1">
        <w:rPr>
          <w:rStyle w:val="Emphasis"/>
          <w:b/>
          <w:highlight w:val="yellow"/>
        </w:rPr>
        <w:t xml:space="preserve">On completion of the </w:t>
      </w:r>
      <w:r w:rsidR="003D3736">
        <w:rPr>
          <w:rStyle w:val="Emphasis"/>
          <w:b/>
          <w:highlight w:val="yellow"/>
        </w:rPr>
        <w:t>document</w:t>
      </w:r>
      <w:r w:rsidRPr="008365D1">
        <w:rPr>
          <w:rStyle w:val="Emphasis"/>
          <w:b/>
          <w:highlight w:val="yellow"/>
        </w:rPr>
        <w:t xml:space="preserve">, delete </w:t>
      </w:r>
      <w:r w:rsidR="008365D1">
        <w:rPr>
          <w:rStyle w:val="Emphasis"/>
          <w:b/>
          <w:highlight w:val="yellow"/>
        </w:rPr>
        <w:t>everything</w:t>
      </w:r>
      <w:r w:rsidRPr="008365D1">
        <w:rPr>
          <w:rStyle w:val="Emphasis"/>
          <w:b/>
          <w:highlight w:val="yellow"/>
        </w:rPr>
        <w:t xml:space="preserve"> after</w:t>
      </w:r>
      <w:r w:rsidR="002E0C67">
        <w:rPr>
          <w:rStyle w:val="Emphasis"/>
          <w:b/>
          <w:highlight w:val="yellow"/>
        </w:rPr>
        <w:t xml:space="preserve"> this page</w:t>
      </w:r>
      <w:r w:rsidRPr="008365D1">
        <w:rPr>
          <w:rStyle w:val="Emphasis"/>
          <w:b/>
          <w:highlight w:val="yellow"/>
        </w:rPr>
        <w:t>.</w:t>
      </w:r>
    </w:p>
    <w:p w14:paraId="0CBCF28F" w14:textId="77777777" w:rsidR="005A0629" w:rsidRDefault="005A0629" w:rsidP="00F63986"/>
    <w:p w14:paraId="47B1FF70" w14:textId="77777777" w:rsidR="00CC7729" w:rsidRDefault="00CC7729" w:rsidP="00F63986">
      <w:pPr>
        <w:pStyle w:val="Title"/>
        <w:spacing w:before="240" w:after="120"/>
        <w:rPr>
          <w:color w:val="3F403A"/>
        </w:rPr>
        <w:sectPr w:rsidR="00CC7729" w:rsidSect="002D3377">
          <w:pgSz w:w="11907" w:h="16840" w:code="9"/>
          <w:pgMar w:top="1276" w:right="1418" w:bottom="992" w:left="1418" w:header="454" w:footer="454" w:gutter="0"/>
          <w:cols w:space="720"/>
          <w:docGrid w:linePitch="360"/>
        </w:sectPr>
      </w:pPr>
    </w:p>
    <w:p w14:paraId="12A13AF7" w14:textId="77777777" w:rsidR="007E4C6C" w:rsidRDefault="00D04EE4" w:rsidP="006E4FDB">
      <w:pPr>
        <w:pStyle w:val="Heading1"/>
      </w:pPr>
      <w:bookmarkStart w:id="118" w:name="_Better_Business_CasesTM"/>
      <w:bookmarkStart w:id="119" w:name="_Toc50549009"/>
      <w:bookmarkEnd w:id="118"/>
      <w:r w:rsidRPr="00D17BFC">
        <w:t xml:space="preserve">Better Business </w:t>
      </w:r>
      <w:proofErr w:type="spellStart"/>
      <w:r w:rsidRPr="00D17BFC">
        <w:t>Cases</w:t>
      </w:r>
      <w:r w:rsidR="00CC7729" w:rsidRPr="00D17BFC">
        <w:rPr>
          <w:vertAlign w:val="superscript"/>
        </w:rPr>
        <w:t>TM</w:t>
      </w:r>
      <w:proofErr w:type="spellEnd"/>
      <w:r w:rsidR="006A3E54" w:rsidRPr="00D17BFC">
        <w:rPr>
          <w:vertAlign w:val="superscript"/>
        </w:rPr>
        <w:t xml:space="preserve"> </w:t>
      </w:r>
      <w:bookmarkStart w:id="120" w:name="_Guidance_-_Programme"/>
      <w:bookmarkStart w:id="121" w:name="_Toc372021779"/>
      <w:bookmarkStart w:id="122" w:name="_Toc527720195"/>
      <w:bookmarkStart w:id="123" w:name="_Toc5882569"/>
      <w:bookmarkStart w:id="124" w:name="_Toc265758123"/>
      <w:bookmarkStart w:id="125" w:name="_Toc275458607"/>
      <w:bookmarkStart w:id="126" w:name="_Toc279609945"/>
      <w:bookmarkStart w:id="127" w:name="_Toc308979501"/>
      <w:bookmarkStart w:id="128" w:name="_Toc364684061"/>
      <w:bookmarkEnd w:id="120"/>
      <w:r w:rsidR="006A3E54" w:rsidRPr="00D17BFC">
        <w:t>–</w:t>
      </w:r>
      <w:r w:rsidR="00B002DE" w:rsidRPr="00D17BFC">
        <w:t xml:space="preserve"> </w:t>
      </w:r>
      <w:r w:rsidR="00882881">
        <w:t>Implementation</w:t>
      </w:r>
      <w:r w:rsidR="000915F7" w:rsidRPr="00D17BFC">
        <w:t xml:space="preserve"> Business Case</w:t>
      </w:r>
      <w:r w:rsidR="006A3E54" w:rsidRPr="00D17BFC">
        <w:t xml:space="preserve"> – Guidance</w:t>
      </w:r>
      <w:bookmarkEnd w:id="119"/>
    </w:p>
    <w:p w14:paraId="4E5FCFF3" w14:textId="77777777" w:rsidR="007D2D83" w:rsidRPr="00584A3E" w:rsidRDefault="00584A3E" w:rsidP="0087038D">
      <w:pPr>
        <w:spacing w:line="260" w:lineRule="atLeast"/>
        <w:rPr>
          <w:rStyle w:val="Hyperlink"/>
          <w:i/>
          <w:sz w:val="24"/>
        </w:rPr>
      </w:pPr>
      <w:r w:rsidRPr="00584A3E">
        <w:rPr>
          <w:i/>
          <w:sz w:val="24"/>
        </w:rPr>
        <w:fldChar w:fldCharType="begin"/>
      </w:r>
      <w:r>
        <w:rPr>
          <w:i/>
          <w:sz w:val="24"/>
        </w:rPr>
        <w:instrText>HYPERLINK  \l "_Before_you_start:"</w:instrText>
      </w:r>
      <w:r w:rsidRPr="00584A3E">
        <w:rPr>
          <w:i/>
          <w:sz w:val="24"/>
        </w:rPr>
        <w:fldChar w:fldCharType="separate"/>
      </w:r>
      <w:r w:rsidR="007D2D83" w:rsidRPr="00584A3E">
        <w:rPr>
          <w:rStyle w:val="Hyperlink"/>
          <w:i/>
          <w:sz w:val="24"/>
        </w:rPr>
        <w:t>&lt;</w:t>
      </w:r>
      <w:proofErr w:type="gramStart"/>
      <w:r w:rsidR="007D2D83" w:rsidRPr="00584A3E">
        <w:rPr>
          <w:rStyle w:val="Hyperlink"/>
          <w:i/>
          <w:sz w:val="24"/>
        </w:rPr>
        <w:t>back</w:t>
      </w:r>
      <w:proofErr w:type="gramEnd"/>
      <w:r w:rsidR="007D2D83" w:rsidRPr="00584A3E">
        <w:rPr>
          <w:rStyle w:val="Hyperlink"/>
          <w:i/>
          <w:sz w:val="24"/>
        </w:rPr>
        <w:t xml:space="preserve"> to template&gt;</w:t>
      </w:r>
    </w:p>
    <w:bookmarkEnd w:id="121"/>
    <w:bookmarkEnd w:id="122"/>
    <w:p w14:paraId="4CB97C49" w14:textId="77777777" w:rsidR="008A02A8" w:rsidRDefault="00584A3E" w:rsidP="00CD1A83">
      <w:pPr>
        <w:spacing w:line="260" w:lineRule="atLeast"/>
      </w:pPr>
      <w:r w:rsidRPr="00584A3E">
        <w:rPr>
          <w:i/>
          <w:sz w:val="24"/>
        </w:rPr>
        <w:fldChar w:fldCharType="end"/>
      </w:r>
      <w:r w:rsidR="008A02A8">
        <w:t>This guidance is to assist developers and reviewers to build better business cases using the Five Case Model, the New Zealand Government’s accepted good practice standard.</w:t>
      </w:r>
    </w:p>
    <w:p w14:paraId="02E1E2A7" w14:textId="77777777" w:rsidR="008A02A8" w:rsidRDefault="008A02A8" w:rsidP="00CD1A83">
      <w:pPr>
        <w:spacing w:line="260" w:lineRule="atLeast"/>
      </w:pPr>
      <w:r>
        <w:t xml:space="preserve">This guidance document is intended for investors, </w:t>
      </w:r>
      <w:r w:rsidR="00DF54B8">
        <w:t>Senior Responsible Owners</w:t>
      </w:r>
      <w:r>
        <w:t>, workshop facilitators and business case developers</w:t>
      </w:r>
      <w:r w:rsidRPr="001275E3">
        <w:t xml:space="preserve"> </w:t>
      </w:r>
      <w:r>
        <w:t xml:space="preserve">preparing the </w:t>
      </w:r>
      <w:r w:rsidR="00A02974">
        <w:t xml:space="preserve">Implementation </w:t>
      </w:r>
      <w:r>
        <w:t>Business Case</w:t>
      </w:r>
      <w:r w:rsidR="003F7F97">
        <w:t>.</w:t>
      </w:r>
      <w:r w:rsidR="00DF54B8">
        <w:t xml:space="preserve"> </w:t>
      </w:r>
      <w:r w:rsidR="003F7F97">
        <w:t xml:space="preserve"> </w:t>
      </w:r>
      <w:r>
        <w:t>It is part of a</w:t>
      </w:r>
      <w:r w:rsidRPr="00C30321">
        <w:t xml:space="preserve"> comprehensive and structured toolkit of guides and templates to assist you at every stage of</w:t>
      </w:r>
      <w:r>
        <w:t xml:space="preserve"> the business case development</w:t>
      </w:r>
      <w:r w:rsidR="003F7F97">
        <w:t xml:space="preserve">. </w:t>
      </w:r>
      <w:r w:rsidR="00DF54B8">
        <w:t xml:space="preserve"> </w:t>
      </w:r>
      <w:r>
        <w:t>This guidance can assist you whether you are considering an investment</w:t>
      </w:r>
      <w:r w:rsidRPr="00C30321">
        <w:t xml:space="preserve"> in change at the portfolio, programm</w:t>
      </w:r>
      <w:r>
        <w:t>e or project level in either the public or private sectors.</w:t>
      </w:r>
    </w:p>
    <w:p w14:paraId="2EC0C3E3" w14:textId="77777777" w:rsidR="008A02A8" w:rsidRDefault="008A02A8" w:rsidP="00CD1A83">
      <w:pPr>
        <w:spacing w:line="260" w:lineRule="atLeast"/>
      </w:pPr>
      <w:r>
        <w:t>This guidance also provides a useful reference for business managers, project or programme managers, business case developers, and other stakeholders who can either influence investment decisions or have an interest in the successful delivery of change.</w:t>
      </w:r>
    </w:p>
    <w:p w14:paraId="34279D2E" w14:textId="77777777" w:rsidR="008A02A8" w:rsidRDefault="008A02A8" w:rsidP="00CD1A83">
      <w:pPr>
        <w:spacing w:line="260" w:lineRule="atLeast"/>
      </w:pPr>
      <w:r>
        <w:t xml:space="preserve">This document is part of the Better Business Cases suite of guidance available at the Treasury website: </w:t>
      </w:r>
      <w:hyperlink r:id="rId30" w:history="1">
        <w:r w:rsidRPr="00D17BFC">
          <w:rPr>
            <w:rStyle w:val="Hyperlink"/>
          </w:rPr>
          <w:t>http://www.treasury.govt.nz/statesector/investmentmanagement/plan/bbc</w:t>
        </w:r>
      </w:hyperlink>
      <w:r>
        <w:rPr>
          <w:color w:val="335087"/>
        </w:rPr>
        <w:t xml:space="preserve"> </w:t>
      </w:r>
      <w:r>
        <w:t xml:space="preserve"> </w:t>
      </w:r>
    </w:p>
    <w:p w14:paraId="6EC5C3A7" w14:textId="77777777" w:rsidR="00B828C0" w:rsidRDefault="008A02A8" w:rsidP="00CD1A83">
      <w:pPr>
        <w:spacing w:line="260" w:lineRule="atLeast"/>
      </w:pPr>
      <w:r>
        <w:t xml:space="preserve">The guidance outlined in this document applies until this document is updated or replaced. </w:t>
      </w:r>
    </w:p>
    <w:p w14:paraId="33EFC49F" w14:textId="77777777" w:rsidR="007E4C6C" w:rsidRPr="00D17BFC" w:rsidRDefault="007E4C6C" w:rsidP="006E4FDB">
      <w:pPr>
        <w:pStyle w:val="Heading2"/>
      </w:pPr>
      <w:bookmarkStart w:id="129" w:name="_Toc527720196"/>
      <w:bookmarkStart w:id="130" w:name="_Toc20312808"/>
      <w:bookmarkStart w:id="131" w:name="_Toc372726706"/>
      <w:bookmarkStart w:id="132" w:name="_Toc114287345"/>
      <w:r w:rsidRPr="00D17BFC">
        <w:t>What this document is not</w:t>
      </w:r>
      <w:bookmarkEnd w:id="129"/>
      <w:bookmarkEnd w:id="130"/>
    </w:p>
    <w:p w14:paraId="1056D16B" w14:textId="77777777" w:rsidR="007E4C6C" w:rsidRDefault="007E4C6C" w:rsidP="0087038D">
      <w:pPr>
        <w:spacing w:line="260" w:lineRule="atLeast"/>
      </w:pPr>
      <w:r w:rsidRPr="005758A3">
        <w:t xml:space="preserve">This </w:t>
      </w:r>
      <w:r>
        <w:t>document</w:t>
      </w:r>
      <w:r w:rsidRPr="005758A3">
        <w:t xml:space="preserve"> </w:t>
      </w:r>
      <w:r>
        <w:t>does not</w:t>
      </w:r>
      <w:r w:rsidRPr="005758A3">
        <w:t xml:space="preserve"> comprehensively cover all the related aspect</w:t>
      </w:r>
      <w:r>
        <w:t>s of business case development, although it describes where other relevant guidance fits</w:t>
      </w:r>
      <w:r w:rsidR="003F7F97">
        <w:t>.</w:t>
      </w:r>
      <w:r w:rsidR="00DF54B8">
        <w:t xml:space="preserve"> </w:t>
      </w:r>
      <w:r w:rsidR="003F7F97">
        <w:t xml:space="preserve"> </w:t>
      </w:r>
      <w:r>
        <w:t xml:space="preserve">These may include regulatory impact, </w:t>
      </w:r>
      <w:r w:rsidRPr="005758A3">
        <w:t xml:space="preserve">economic assessment, procurement, risk management, </w:t>
      </w:r>
      <w:r>
        <w:t>Public Private Partnership</w:t>
      </w:r>
      <w:r w:rsidRPr="005758A3">
        <w:t xml:space="preserve"> (PPP), Treat</w:t>
      </w:r>
      <w:r>
        <w:t>y, programme/project management</w:t>
      </w:r>
      <w:r w:rsidRPr="005758A3">
        <w:t xml:space="preserve"> or </w:t>
      </w:r>
      <w:r>
        <w:t>assurance processes</w:t>
      </w:r>
      <w:r w:rsidR="003F7F97">
        <w:t>.</w:t>
      </w:r>
      <w:r w:rsidR="00DF54B8">
        <w:t xml:space="preserve"> </w:t>
      </w:r>
      <w:r w:rsidR="003F7F97">
        <w:t xml:space="preserve"> </w:t>
      </w:r>
      <w:r>
        <w:t>You should refer to any relevant policies, rules, expectations and practices that apply to your specific organisation or sector.</w:t>
      </w:r>
    </w:p>
    <w:p w14:paraId="6DACBE8D" w14:textId="77777777" w:rsidR="007E4C6C" w:rsidRPr="00D17BFC" w:rsidRDefault="007E4C6C" w:rsidP="006E4FDB">
      <w:pPr>
        <w:pStyle w:val="Heading2"/>
      </w:pPr>
      <w:bookmarkStart w:id="133" w:name="_Toc427737740"/>
      <w:bookmarkStart w:id="134" w:name="_Toc428027702"/>
      <w:bookmarkStart w:id="135" w:name="_Toc428380440"/>
      <w:bookmarkStart w:id="136" w:name="_Toc428475247"/>
      <w:bookmarkStart w:id="137" w:name="_Toc527720197"/>
      <w:bookmarkStart w:id="138" w:name="_Toc20312809"/>
      <w:r w:rsidRPr="00D17BFC">
        <w:t>Key Changes from the previous version</w:t>
      </w:r>
      <w:bookmarkEnd w:id="133"/>
      <w:bookmarkEnd w:id="134"/>
      <w:bookmarkEnd w:id="135"/>
      <w:bookmarkEnd w:id="136"/>
      <w:bookmarkEnd w:id="137"/>
      <w:bookmarkEnd w:id="138"/>
    </w:p>
    <w:p w14:paraId="17170868" w14:textId="77777777" w:rsidR="007E4C6C" w:rsidRDefault="007E4C6C" w:rsidP="00CD1A83">
      <w:pPr>
        <w:spacing w:line="260" w:lineRule="atLeast"/>
      </w:pPr>
      <w:r>
        <w:t xml:space="preserve">The key changes to this guidance from the version dated </w:t>
      </w:r>
      <w:r w:rsidR="00B002DE">
        <w:t>30 October 2018</w:t>
      </w:r>
      <w:r>
        <w:t xml:space="preserve"> are: </w:t>
      </w:r>
    </w:p>
    <w:p w14:paraId="69AA47E2" w14:textId="77777777" w:rsidR="00B828C0" w:rsidRDefault="00B828C0" w:rsidP="00CD1A83">
      <w:pPr>
        <w:pStyle w:val="Bullet-list"/>
      </w:pPr>
      <w:r>
        <w:t>Integration of template and guidance to avoid business case developers needing to seek assistance in two places.</w:t>
      </w:r>
    </w:p>
    <w:p w14:paraId="44949B98" w14:textId="4F5EA19A" w:rsidR="004702F5" w:rsidRPr="007D2D83" w:rsidRDefault="004702F5" w:rsidP="00CD1A83">
      <w:pPr>
        <w:pStyle w:val="Bullet-list"/>
      </w:pPr>
      <w:bookmarkStart w:id="139" w:name="_Toc527720198"/>
      <w:r w:rsidRPr="007D2D83">
        <w:t xml:space="preserve">Updated guidance descriptions </w:t>
      </w:r>
      <w:r w:rsidR="0090057E" w:rsidRPr="007D2D83">
        <w:t xml:space="preserve">and tables </w:t>
      </w:r>
      <w:r w:rsidRPr="007D2D83">
        <w:t>throughout the template to improve clarity</w:t>
      </w:r>
    </w:p>
    <w:p w14:paraId="1421DEAD" w14:textId="77777777" w:rsidR="004474B1" w:rsidRPr="007D2D83" w:rsidRDefault="004474B1" w:rsidP="00CD1A83">
      <w:pPr>
        <w:pStyle w:val="Bullet-list"/>
      </w:pPr>
      <w:r w:rsidRPr="007D2D83">
        <w:t xml:space="preserve">Added minor references to Wellbeing indicators for benefits in the Economic case </w:t>
      </w:r>
    </w:p>
    <w:p w14:paraId="72685F1F" w14:textId="101DA4DE" w:rsidR="007C1816" w:rsidRDefault="0060180C" w:rsidP="00CD1A83">
      <w:pPr>
        <w:pStyle w:val="Bullet-list"/>
      </w:pPr>
      <w:r w:rsidRPr="007D2D83">
        <w:t>Exec summary</w:t>
      </w:r>
      <w:r w:rsidR="0007120E">
        <w:t xml:space="preserve">: </w:t>
      </w:r>
      <w:r w:rsidRPr="007D2D83">
        <w:t>added</w:t>
      </w:r>
      <w:r w:rsidR="007C1816" w:rsidRPr="007D2D83">
        <w:t xml:space="preserve"> a</w:t>
      </w:r>
      <w:r w:rsidRPr="007D2D83">
        <w:t xml:space="preserve"> work completed to date section, a new </w:t>
      </w:r>
      <w:r w:rsidR="00C63732" w:rsidRPr="007D2D83">
        <w:t xml:space="preserve">investment </w:t>
      </w:r>
      <w:r w:rsidRPr="007D2D83">
        <w:t>summary table</w:t>
      </w:r>
      <w:r w:rsidR="00C63732" w:rsidRPr="007D2D83">
        <w:t xml:space="preserve"> and a project milestones table</w:t>
      </w:r>
      <w:r w:rsidRPr="007D2D83">
        <w:t>.  Abbreviated the sections to include only key information.</w:t>
      </w:r>
      <w:r w:rsidR="007C1816" w:rsidRPr="007D2D83">
        <w:t xml:space="preserve"> </w:t>
      </w:r>
    </w:p>
    <w:p w14:paraId="5C4A97E3" w14:textId="4AECF6CF" w:rsidR="0007120E" w:rsidRPr="007D2D83" w:rsidRDefault="0007120E" w:rsidP="00CD1A83">
      <w:pPr>
        <w:pStyle w:val="Bullet-list"/>
      </w:pPr>
      <w:r>
        <w:t>Exec summary: added a list of any conditions related to the approval of the previous business case, and a statement confirming that these conditions have been met.</w:t>
      </w:r>
    </w:p>
    <w:p w14:paraId="29162505" w14:textId="1BDC8217" w:rsidR="007D2D83" w:rsidRPr="007D2D83" w:rsidRDefault="007C1816" w:rsidP="00CD1A83">
      <w:pPr>
        <w:pStyle w:val="Bullet-list"/>
      </w:pPr>
      <w:r w:rsidRPr="007D2D83">
        <w:t>Background</w:t>
      </w:r>
      <w:r w:rsidR="0007120E">
        <w:t>:</w:t>
      </w:r>
      <w:r w:rsidRPr="007D2D83">
        <w:t xml:space="preserve"> added a section where the history of the investment may be described if applicable.</w:t>
      </w:r>
    </w:p>
    <w:p w14:paraId="5196F4ED" w14:textId="48E4E478" w:rsidR="000D473E" w:rsidRPr="007D2D83" w:rsidRDefault="005F5309" w:rsidP="00CD1A83">
      <w:pPr>
        <w:pStyle w:val="Bullet-list"/>
      </w:pPr>
      <w:r w:rsidRPr="007D2D83">
        <w:t>Strategic Case</w:t>
      </w:r>
      <w:r w:rsidR="0060180C" w:rsidRPr="007D2D83">
        <w:t xml:space="preserve"> and</w:t>
      </w:r>
      <w:r w:rsidRPr="007D2D83">
        <w:t xml:space="preserve"> Economic case</w:t>
      </w:r>
      <w:r w:rsidR="0060180C" w:rsidRPr="007D2D83">
        <w:t>s</w:t>
      </w:r>
      <w:r w:rsidR="0007120E">
        <w:t>:</w:t>
      </w:r>
      <w:r w:rsidR="0060180C" w:rsidRPr="007D2D83">
        <w:t xml:space="preserve"> separated these</w:t>
      </w:r>
      <w:r w:rsidRPr="007D2D83">
        <w:t xml:space="preserve"> into separate section</w:t>
      </w:r>
      <w:r w:rsidR="0060180C" w:rsidRPr="007D2D83">
        <w:t>s</w:t>
      </w:r>
      <w:r w:rsidR="007C1816" w:rsidRPr="007D2D83">
        <w:t xml:space="preserve"> to keep</w:t>
      </w:r>
      <w:r w:rsidR="002E0C67">
        <w:t xml:space="preserve"> the </w:t>
      </w:r>
      <w:r w:rsidR="007C1816" w:rsidRPr="007D2D83">
        <w:t>5</w:t>
      </w:r>
      <w:r w:rsidR="002E0C67">
        <w:t>-</w:t>
      </w:r>
      <w:r w:rsidR="007C1816" w:rsidRPr="007D2D83">
        <w:t>case pattern</w:t>
      </w:r>
      <w:r w:rsidRPr="007D2D83">
        <w:t>. Add</w:t>
      </w:r>
      <w:r w:rsidR="0060180C" w:rsidRPr="007D2D83">
        <w:t>ed a summary of</w:t>
      </w:r>
      <w:r w:rsidR="00C63732" w:rsidRPr="007D2D83">
        <w:t xml:space="preserve"> ‘S</w:t>
      </w:r>
      <w:r w:rsidR="000D473E" w:rsidRPr="007D2D83">
        <w:t>trategic context and investment objectives</w:t>
      </w:r>
      <w:r w:rsidR="00C63732" w:rsidRPr="007D2D83">
        <w:t>’</w:t>
      </w:r>
      <w:r w:rsidR="0060180C" w:rsidRPr="007D2D83">
        <w:t xml:space="preserve"> to provide reviewers some context</w:t>
      </w:r>
      <w:r w:rsidRPr="007D2D83">
        <w:t>.</w:t>
      </w:r>
    </w:p>
    <w:p w14:paraId="273F0636" w14:textId="77777777" w:rsidR="00DE3CFC" w:rsidRPr="007D2D83" w:rsidRDefault="00DE3CFC" w:rsidP="00CD1A83">
      <w:pPr>
        <w:pStyle w:val="Bullet-list"/>
      </w:pPr>
      <w:r w:rsidRPr="007D2D83">
        <w:t xml:space="preserve">Economic Case: </w:t>
      </w:r>
      <w:r w:rsidR="009437B0" w:rsidRPr="007D2D83">
        <w:t xml:space="preserve">Added benefits confirmation section, and </w:t>
      </w:r>
      <w:r w:rsidR="00C63732" w:rsidRPr="007D2D83">
        <w:t>a table for shortlist options to improve readability</w:t>
      </w:r>
    </w:p>
    <w:p w14:paraId="37DDFE7D" w14:textId="7B19E560" w:rsidR="001878D7" w:rsidRPr="007D2D83" w:rsidRDefault="00C63732" w:rsidP="00CD1A83">
      <w:pPr>
        <w:pStyle w:val="Bullet-list"/>
      </w:pPr>
      <w:r w:rsidRPr="007D2D83">
        <w:t>Commercial Case: moved the ‘</w:t>
      </w:r>
      <w:r w:rsidR="00CE7FFA" w:rsidRPr="007D2D83">
        <w:t xml:space="preserve">Selection of preferred </w:t>
      </w:r>
      <w:r w:rsidRPr="007D2D83">
        <w:t>s</w:t>
      </w:r>
      <w:r w:rsidR="00CE7FFA" w:rsidRPr="007D2D83">
        <w:t>upplier</w:t>
      </w:r>
      <w:r w:rsidRPr="007D2D83">
        <w:t>’</w:t>
      </w:r>
      <w:r w:rsidR="00DE3CFC" w:rsidRPr="007D2D83">
        <w:t xml:space="preserve"> section from the</w:t>
      </w:r>
      <w:r w:rsidR="00CE7FFA" w:rsidRPr="007D2D83">
        <w:t xml:space="preserve"> </w:t>
      </w:r>
      <w:r w:rsidR="00DE3CFC" w:rsidRPr="007D2D83">
        <w:t>Economic</w:t>
      </w:r>
      <w:r w:rsidR="00CE7FFA" w:rsidRPr="007D2D83">
        <w:t xml:space="preserve"> </w:t>
      </w:r>
      <w:r w:rsidR="00DE3CFC" w:rsidRPr="007D2D83">
        <w:t>case</w:t>
      </w:r>
      <w:r w:rsidRPr="007D2D83">
        <w:t>. This fits much better here.</w:t>
      </w:r>
    </w:p>
    <w:p w14:paraId="5A78D614" w14:textId="7AB9E155" w:rsidR="000D473E" w:rsidRPr="007D2D83" w:rsidRDefault="00DE3CFC" w:rsidP="00CD1A83">
      <w:pPr>
        <w:pStyle w:val="Bullet-list"/>
      </w:pPr>
      <w:r w:rsidRPr="007D2D83">
        <w:t xml:space="preserve">Commercial </w:t>
      </w:r>
      <w:r w:rsidR="0007120E">
        <w:t>c</w:t>
      </w:r>
      <w:r w:rsidRPr="007D2D83">
        <w:t xml:space="preserve">ase: </w:t>
      </w:r>
      <w:r w:rsidR="000D473E" w:rsidRPr="007D2D83">
        <w:t>remove</w:t>
      </w:r>
      <w:r w:rsidR="00C63732" w:rsidRPr="007D2D83">
        <w:t>d</w:t>
      </w:r>
      <w:r w:rsidR="000D473E" w:rsidRPr="007D2D83">
        <w:t xml:space="preserve"> detail of evaluation methodology</w:t>
      </w:r>
      <w:r w:rsidR="00C63732" w:rsidRPr="007D2D83">
        <w:t xml:space="preserve"> to reduce duplication of detail</w:t>
      </w:r>
      <w:r w:rsidR="009437B0" w:rsidRPr="007D2D83">
        <w:t xml:space="preserve"> –focus on the results of the evaluation</w:t>
      </w:r>
      <w:r w:rsidR="00C63732" w:rsidRPr="007D2D83">
        <w:t>. Refer</w:t>
      </w:r>
      <w:r w:rsidR="006A2166">
        <w:t>ence</w:t>
      </w:r>
      <w:r w:rsidR="0007120E">
        <w:t>s</w:t>
      </w:r>
      <w:r w:rsidR="00C63732" w:rsidRPr="007D2D83">
        <w:t xml:space="preserve"> to the previous business case, Procurement Plan and E</w:t>
      </w:r>
      <w:r w:rsidRPr="007D2D83">
        <w:t>valuation</w:t>
      </w:r>
      <w:r w:rsidR="00C63732" w:rsidRPr="007D2D83">
        <w:t xml:space="preserve"> Panel R</w:t>
      </w:r>
      <w:r w:rsidRPr="007D2D83">
        <w:t>eport.</w:t>
      </w:r>
    </w:p>
    <w:p w14:paraId="68B9A0D8" w14:textId="466664A2" w:rsidR="004B63F4" w:rsidRPr="007D2D83" w:rsidRDefault="004B63F4" w:rsidP="00CD1A83">
      <w:pPr>
        <w:pStyle w:val="Bullet-list"/>
      </w:pPr>
      <w:r w:rsidRPr="007D2D83">
        <w:t>Commercial case: Updated guidance on Public Private Partnerships; replaced with references and links to Cabinet requirements for consideration of alternative procurement, to procurement rules and the New Zealand Infrastructure Commission (</w:t>
      </w:r>
      <w:r w:rsidR="002E0C67">
        <w:t>f</w:t>
      </w:r>
      <w:r w:rsidR="00681D01" w:rsidRPr="007D2D83">
        <w:t>rom</w:t>
      </w:r>
      <w:r w:rsidRPr="007D2D83">
        <w:t xml:space="preserve"> 1 October 2019)</w:t>
      </w:r>
      <w:r w:rsidR="00195AAA" w:rsidRPr="007D2D83">
        <w:t>.</w:t>
      </w:r>
      <w:r w:rsidR="007D2D83">
        <w:t xml:space="preserve"> </w:t>
      </w:r>
      <w:r w:rsidR="00195AAA" w:rsidRPr="007D2D83">
        <w:t xml:space="preserve"> Replaced the detailed risk allocation table with a simple summary table</w:t>
      </w:r>
      <w:r w:rsidR="007D2D83">
        <w:t>;</w:t>
      </w:r>
      <w:r w:rsidR="00195AAA" w:rsidRPr="007D2D83">
        <w:t xml:space="preserve"> details are in procurement documents</w:t>
      </w:r>
      <w:r w:rsidR="006A2166">
        <w:t xml:space="preserve"> </w:t>
      </w:r>
      <w:r w:rsidR="006A2166" w:rsidRPr="002E0C67">
        <w:t>(</w:t>
      </w:r>
      <w:r w:rsidR="002E0C67">
        <w:t xml:space="preserve">now </w:t>
      </w:r>
      <w:r w:rsidR="006A2166" w:rsidRPr="002E0C67">
        <w:t>annexed</w:t>
      </w:r>
      <w:r w:rsidR="006A2166">
        <w:t>)</w:t>
      </w:r>
      <w:r w:rsidR="00195AAA" w:rsidRPr="007D2D83">
        <w:t>.</w:t>
      </w:r>
    </w:p>
    <w:p w14:paraId="4C134FD2" w14:textId="418B8C59" w:rsidR="0007120E" w:rsidRDefault="0007120E" w:rsidP="00CD1A83">
      <w:pPr>
        <w:pStyle w:val="Bullet-list"/>
      </w:pPr>
      <w:r>
        <w:t>Commercial case: inclusion of references to NZ Government’s Broader Procurement Outcomes.</w:t>
      </w:r>
    </w:p>
    <w:p w14:paraId="47B7E4C0" w14:textId="71DEC159" w:rsidR="0007120E" w:rsidRPr="007D2D83" w:rsidRDefault="0007120E" w:rsidP="00CD1A83">
      <w:pPr>
        <w:pStyle w:val="Bullet-list"/>
      </w:pPr>
      <w:r>
        <w:t xml:space="preserve">Commercial case: </w:t>
      </w:r>
      <w:r w:rsidRPr="007D2D83">
        <w:t xml:space="preserve">Updates throughout to refer to one or multiple procurements (not limited to one prime supplier per project). </w:t>
      </w:r>
    </w:p>
    <w:p w14:paraId="345C67AB" w14:textId="0B2F72FD" w:rsidR="00B06BA5" w:rsidRDefault="00B06BA5" w:rsidP="00CD1A83">
      <w:pPr>
        <w:pStyle w:val="Bullet-list"/>
      </w:pPr>
      <w:r w:rsidRPr="007D2D83">
        <w:t>Management case: Refined sub-sections</w:t>
      </w:r>
      <w:r w:rsidR="00195AAA" w:rsidRPr="007D2D83">
        <w:t>, adjusted some sub-section headings</w:t>
      </w:r>
      <w:r w:rsidRPr="007D2D83">
        <w:t xml:space="preserve"> and added reference to MSP</w:t>
      </w:r>
      <w:r w:rsidR="00195AAA" w:rsidRPr="007D2D83">
        <w:t xml:space="preserve"> and Agile</w:t>
      </w:r>
      <w:r w:rsidR="008B2773" w:rsidRPr="007D2D83">
        <w:t xml:space="preserve"> methods</w:t>
      </w:r>
    </w:p>
    <w:p w14:paraId="365B1D6A" w14:textId="09AC6DD8" w:rsidR="0007120E" w:rsidRDefault="0007120E" w:rsidP="00CD1A83">
      <w:pPr>
        <w:pStyle w:val="Bullet-list"/>
      </w:pPr>
      <w:r>
        <w:t xml:space="preserve">Updates: reduced duplication of information from supporting documents; replaced with summary information only and a list of supporting documents in Annex 2; these </w:t>
      </w:r>
      <w:r>
        <w:rPr>
          <w:u w:val="single"/>
        </w:rPr>
        <w:t>must</w:t>
      </w:r>
      <w:r>
        <w:t xml:space="preserve"> be made available to reviewers on request</w:t>
      </w:r>
    </w:p>
    <w:p w14:paraId="36FEAA59" w14:textId="4C836BD6" w:rsidR="0007120E" w:rsidRPr="007D2D83" w:rsidRDefault="0007120E" w:rsidP="00CD1A83">
      <w:pPr>
        <w:pStyle w:val="Bullet-list"/>
      </w:pPr>
      <w:r>
        <w:t>Inclusion in Annex 2 of confirmation from the SRO and Project Director (or equivalent role) that all project management and control documents required to ensure project success are in place or substantially complete and will be used to run the project.</w:t>
      </w:r>
    </w:p>
    <w:p w14:paraId="5BDC017C" w14:textId="77777777" w:rsidR="008B2773" w:rsidRPr="008B2773" w:rsidRDefault="008A02A8" w:rsidP="00CD1A83">
      <w:pPr>
        <w:pStyle w:val="Bullet-list"/>
        <w:rPr>
          <w:spacing w:val="-2"/>
        </w:rPr>
      </w:pPr>
      <w:r>
        <w:t>Insertion of missing links, update of links, correction of typographical errors.</w:t>
      </w:r>
    </w:p>
    <w:p w14:paraId="2231E6B6" w14:textId="77777777" w:rsidR="006F71A2" w:rsidRPr="00D17BFC" w:rsidRDefault="006F71A2" w:rsidP="006E4FDB">
      <w:pPr>
        <w:pStyle w:val="Heading2"/>
      </w:pPr>
      <w:bookmarkStart w:id="140" w:name="_Toc428027714"/>
      <w:bookmarkStart w:id="141" w:name="_Toc428380447"/>
      <w:bookmarkStart w:id="142" w:name="_Toc428475254"/>
      <w:bookmarkStart w:id="143" w:name="_Toc430432437"/>
      <w:bookmarkStart w:id="144" w:name="_Toc430703990"/>
      <w:bookmarkStart w:id="145" w:name="_Toc430704058"/>
      <w:r w:rsidRPr="00D17BFC">
        <w:t>Questions and feedback</w:t>
      </w:r>
    </w:p>
    <w:p w14:paraId="6F6CA6D6" w14:textId="77777777" w:rsidR="006F71A2" w:rsidRDefault="006F71A2" w:rsidP="0087038D">
      <w:pPr>
        <w:spacing w:line="260" w:lineRule="atLeast"/>
      </w:pPr>
      <w:r>
        <w:t xml:space="preserve">General enquiries about the information contained in this guidance, and comments on how it could be improved: </w:t>
      </w:r>
      <w:hyperlink r:id="rId31" w:history="1">
        <w:r w:rsidRPr="00D17BFC">
          <w:rPr>
            <w:rStyle w:val="Hyperlink"/>
          </w:rPr>
          <w:t>better.businesscases@treasury.govt.nz</w:t>
        </w:r>
      </w:hyperlink>
      <w:r>
        <w:t xml:space="preserve">. </w:t>
      </w:r>
    </w:p>
    <w:p w14:paraId="36494DF6" w14:textId="77777777" w:rsidR="006F71A2" w:rsidRPr="00314929" w:rsidRDefault="006F71A2" w:rsidP="0087038D">
      <w:pPr>
        <w:spacing w:line="260" w:lineRule="atLeast"/>
        <w:rPr>
          <w:spacing w:val="-2"/>
        </w:rPr>
      </w:pPr>
      <w:r w:rsidRPr="00314929">
        <w:rPr>
          <w:spacing w:val="-2"/>
        </w:rPr>
        <w:t>For state sector agencies, any agency-specific questions should be addressed to your Treasury Vote team or departmental Monitoring Agency.</w:t>
      </w:r>
    </w:p>
    <w:p w14:paraId="3540B7B3" w14:textId="05E8E03D" w:rsidR="008B2773" w:rsidRDefault="008B2773" w:rsidP="006E4FDB">
      <w:pPr>
        <w:pStyle w:val="Heading2"/>
      </w:pPr>
      <w:bookmarkStart w:id="146" w:name="_Toc428027715"/>
      <w:bookmarkStart w:id="147" w:name="_Toc428380448"/>
      <w:bookmarkStart w:id="148" w:name="_Toc428475255"/>
      <w:bookmarkStart w:id="149" w:name="_Toc430432438"/>
      <w:bookmarkStart w:id="150" w:name="_Toc430704067"/>
      <w:bookmarkStart w:id="151" w:name="_Toc431213556"/>
      <w:bookmarkEnd w:id="123"/>
      <w:bookmarkEnd w:id="124"/>
      <w:bookmarkEnd w:id="125"/>
      <w:bookmarkEnd w:id="126"/>
      <w:bookmarkEnd w:id="127"/>
      <w:bookmarkEnd w:id="128"/>
      <w:bookmarkEnd w:id="131"/>
      <w:bookmarkEnd w:id="132"/>
      <w:bookmarkEnd w:id="139"/>
      <w:bookmarkEnd w:id="140"/>
      <w:bookmarkEnd w:id="141"/>
      <w:bookmarkEnd w:id="142"/>
      <w:bookmarkEnd w:id="143"/>
      <w:bookmarkEnd w:id="144"/>
      <w:bookmarkEnd w:id="145"/>
      <w:r>
        <w:t>Project Implementation Business Case: Actions</w:t>
      </w:r>
      <w:bookmarkEnd w:id="146"/>
      <w:bookmarkEnd w:id="147"/>
      <w:bookmarkEnd w:id="148"/>
      <w:bookmarkEnd w:id="149"/>
      <w:bookmarkEnd w:id="150"/>
      <w:bookmarkEnd w:id="151"/>
    </w:p>
    <w:p w14:paraId="0ED425FF" w14:textId="77777777" w:rsidR="006F71A2" w:rsidRDefault="006F71A2" w:rsidP="0087038D">
      <w:pPr>
        <w:spacing w:line="260" w:lineRule="atLeast"/>
      </w:pPr>
      <w:r>
        <w:t>The Project/Tranche I</w:t>
      </w:r>
      <w:r w:rsidR="008B2773">
        <w:t xml:space="preserve">mplementation </w:t>
      </w:r>
      <w:r>
        <w:t>Business Case</w:t>
      </w:r>
      <w:r w:rsidR="008B2773">
        <w:t xml:space="preserve"> </w:t>
      </w:r>
      <w:r>
        <w:t xml:space="preserve">includes the steps and actions </w:t>
      </w:r>
      <w:r w:rsidR="008B2773">
        <w:t xml:space="preserve">shown below.  </w:t>
      </w:r>
      <w:r>
        <w:t>See</w:t>
      </w:r>
      <w:r w:rsidRPr="00EB5366">
        <w:t xml:space="preserve"> </w:t>
      </w:r>
      <w:hyperlink w:anchor="_Annex_1:_The" w:history="1">
        <w:r w:rsidRPr="00584A3E">
          <w:rPr>
            <w:rStyle w:val="Hyperlink"/>
          </w:rPr>
          <w:t xml:space="preserve">Annex </w:t>
        </w:r>
        <w:r w:rsidR="00584A3E" w:rsidRPr="00584A3E">
          <w:rPr>
            <w:rStyle w:val="Hyperlink"/>
          </w:rPr>
          <w:t>1</w:t>
        </w:r>
        <w:r w:rsidRPr="00584A3E">
          <w:rPr>
            <w:rStyle w:val="Hyperlink"/>
          </w:rPr>
          <w:t xml:space="preserve"> </w:t>
        </w:r>
      </w:hyperlink>
      <w:r w:rsidRPr="00584A3E">
        <w:t xml:space="preserve">for </w:t>
      </w:r>
      <w:r>
        <w:t>a</w:t>
      </w:r>
      <w:r w:rsidRPr="00EB5366">
        <w:t>n overview of all of t</w:t>
      </w:r>
      <w:r>
        <w:t>h</w:t>
      </w:r>
      <w:r w:rsidRPr="00EB5366">
        <w:t>e 34 BBC actions.</w:t>
      </w:r>
    </w:p>
    <w:p w14:paraId="7BC2648D" w14:textId="45037033" w:rsidR="008B2773" w:rsidRDefault="00552B6B" w:rsidP="008B2773">
      <w:r>
        <w:rPr>
          <w:noProof/>
          <w:lang w:val="en-NZ" w:eastAsia="en-NZ"/>
        </w:rPr>
        <w:drawing>
          <wp:inline distT="0" distB="0" distL="0" distR="0" wp14:anchorId="16FAABEF" wp14:editId="4711FB6F">
            <wp:extent cx="5345723" cy="2403367"/>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87593" cy="2422191"/>
                    </a:xfrm>
                    <a:prstGeom prst="rect">
                      <a:avLst/>
                    </a:prstGeom>
                    <a:noFill/>
                    <a:ln>
                      <a:noFill/>
                    </a:ln>
                  </pic:spPr>
                </pic:pic>
              </a:graphicData>
            </a:graphic>
          </wp:inline>
        </w:drawing>
      </w:r>
    </w:p>
    <w:p w14:paraId="6B9868E9" w14:textId="2F7FF2C4" w:rsidR="008B2773" w:rsidRDefault="006F71A2" w:rsidP="0087038D">
      <w:pPr>
        <w:spacing w:line="260" w:lineRule="atLeast"/>
        <w:rPr>
          <w:lang w:val="en-NZ"/>
        </w:rPr>
      </w:pPr>
      <w:r>
        <w:t>These Actions develop the Implementation Business Case</w:t>
      </w:r>
      <w:r w:rsidR="006A024A">
        <w:t xml:space="preserve"> for a project or tranche. It</w:t>
      </w:r>
      <w:r>
        <w:t xml:space="preserve"> </w:t>
      </w:r>
      <w:r w:rsidR="006A2166">
        <w:t>confirms that the initiative is still required, that the best value solution has been selected and negotiated, and that the initiative is organised and positioned to succeed.</w:t>
      </w:r>
    </w:p>
    <w:p w14:paraId="50FD9DDE" w14:textId="77777777" w:rsidR="006F71A2" w:rsidRDefault="006F71A2" w:rsidP="006E4FDB">
      <w:pPr>
        <w:pStyle w:val="Heading2"/>
      </w:pPr>
      <w:bookmarkStart w:id="152" w:name="_Toc381131317"/>
      <w:bookmarkStart w:id="153" w:name="_Toc430704068"/>
      <w:bookmarkStart w:id="154" w:name="_Toc431213557"/>
      <w:r>
        <w:t>Purpose of the Implementation Business Case</w:t>
      </w:r>
    </w:p>
    <w:p w14:paraId="2C9E24CB" w14:textId="77777777" w:rsidR="006F71A2" w:rsidRDefault="006F71A2" w:rsidP="00CD1A83">
      <w:pPr>
        <w:spacing w:line="260" w:lineRule="atLeast"/>
      </w:pPr>
      <w:bookmarkStart w:id="155" w:name="_Toc430703998"/>
      <w:bookmarkStart w:id="156" w:name="_Toc430704066"/>
      <w:bookmarkStart w:id="157" w:name="_Toc430703991"/>
      <w:bookmarkStart w:id="158" w:name="_Toc430704059"/>
      <w:r>
        <w:t>T</w:t>
      </w:r>
      <w:r w:rsidRPr="00690F31">
        <w:t xml:space="preserve">he Implementation Business Case </w:t>
      </w:r>
      <w:r>
        <w:t>is</w:t>
      </w:r>
      <w:r w:rsidRPr="00690F31">
        <w:t xml:space="preserve"> used </w:t>
      </w:r>
      <w:r>
        <w:t>to seek</w:t>
      </w:r>
      <w:r w:rsidRPr="00690F31">
        <w:t xml:space="preserve"> formal approval to </w:t>
      </w:r>
      <w:r>
        <w:t>finalise</w:t>
      </w:r>
      <w:r w:rsidRPr="00690F31">
        <w:t xml:space="preserve"> the deal</w:t>
      </w:r>
      <w:r>
        <w:t xml:space="preserve"> with suppliers</w:t>
      </w:r>
      <w:r w:rsidRPr="00690F31">
        <w:t xml:space="preserve">, proceed to contract signing and </w:t>
      </w:r>
      <w:r>
        <w:t>deliver (</w:t>
      </w:r>
      <w:r w:rsidRPr="00690F31">
        <w:t>implement</w:t>
      </w:r>
      <w:r>
        <w:t>)</w:t>
      </w:r>
      <w:r w:rsidRPr="00690F31">
        <w:t xml:space="preserve"> the project.</w:t>
      </w:r>
      <w:bookmarkEnd w:id="155"/>
      <w:bookmarkEnd w:id="156"/>
    </w:p>
    <w:p w14:paraId="49F63CBD" w14:textId="77777777" w:rsidR="006F71A2" w:rsidRPr="00690F31" w:rsidRDefault="006F71A2" w:rsidP="00CD1A83">
      <w:pPr>
        <w:keepNext/>
        <w:spacing w:line="260" w:lineRule="atLeast"/>
        <w:rPr>
          <w:b/>
        </w:rPr>
      </w:pPr>
      <w:bookmarkStart w:id="159" w:name="_Toc430703992"/>
      <w:bookmarkStart w:id="160" w:name="_Toc430704060"/>
      <w:bookmarkEnd w:id="157"/>
      <w:bookmarkEnd w:id="158"/>
      <w:r w:rsidRPr="00690F31">
        <w:t>The Implementation Business Case:</w:t>
      </w:r>
      <w:bookmarkEnd w:id="159"/>
      <w:bookmarkEnd w:id="160"/>
    </w:p>
    <w:p w14:paraId="0684F2F5" w14:textId="77777777" w:rsidR="00906E9E" w:rsidRPr="00301976" w:rsidRDefault="00906E9E" w:rsidP="00CD1A83">
      <w:pPr>
        <w:pStyle w:val="Bullet-list"/>
        <w:rPr>
          <w:b/>
        </w:rPr>
      </w:pPr>
      <w:bookmarkStart w:id="161" w:name="_Toc430703993"/>
      <w:bookmarkStart w:id="162" w:name="_Toc430704061"/>
      <w:r>
        <w:t xml:space="preserve">Confirms and if necessary updates </w:t>
      </w:r>
      <w:r w:rsidR="006F71A2">
        <w:t>the S</w:t>
      </w:r>
      <w:r w:rsidR="006F71A2" w:rsidRPr="00690F31">
        <w:t xml:space="preserve">trategic </w:t>
      </w:r>
      <w:r w:rsidR="006F71A2">
        <w:t>case</w:t>
      </w:r>
      <w:r>
        <w:t>: strategic fit and outcomes</w:t>
      </w:r>
    </w:p>
    <w:p w14:paraId="356961BE" w14:textId="77777777" w:rsidR="00906E9E" w:rsidRPr="00B07774" w:rsidRDefault="00906E9E" w:rsidP="00CD1A83">
      <w:pPr>
        <w:pStyle w:val="Bullet-list"/>
        <w:rPr>
          <w:b/>
          <w:color w:val="000000"/>
        </w:rPr>
      </w:pPr>
      <w:r w:rsidRPr="00B07774">
        <w:rPr>
          <w:color w:val="000000"/>
        </w:rPr>
        <w:t>Confirms and if necessary updates the</w:t>
      </w:r>
      <w:r w:rsidR="006F71A2" w:rsidRPr="00B07774">
        <w:rPr>
          <w:color w:val="000000"/>
        </w:rPr>
        <w:t xml:space="preserve"> Economic </w:t>
      </w:r>
      <w:bookmarkEnd w:id="161"/>
      <w:bookmarkEnd w:id="162"/>
      <w:r w:rsidRPr="00B07774">
        <w:rPr>
          <w:color w:val="000000"/>
        </w:rPr>
        <w:t>Case, including benefits</w:t>
      </w:r>
      <w:r w:rsidRPr="00B07774">
        <w:rPr>
          <w:i/>
          <w:color w:val="000000"/>
        </w:rPr>
        <w:t xml:space="preserve"> - </w:t>
      </w:r>
      <w:r w:rsidRPr="00B07774">
        <w:rPr>
          <w:rStyle w:val="Emphasis"/>
          <w:i w:val="0"/>
          <w:color w:val="000000"/>
        </w:rPr>
        <w:t>–the preferred option and costs, benefit and public value still stack up.</w:t>
      </w:r>
      <w:bookmarkStart w:id="163" w:name="_Toc430703995"/>
      <w:bookmarkStart w:id="164" w:name="_Toc430704063"/>
    </w:p>
    <w:p w14:paraId="26D78D77" w14:textId="77777777" w:rsidR="006F71A2" w:rsidRPr="00B07774" w:rsidRDefault="00906E9E" w:rsidP="00CD1A83">
      <w:pPr>
        <w:pStyle w:val="Bullet-list"/>
        <w:rPr>
          <w:b/>
          <w:color w:val="000000"/>
        </w:rPr>
      </w:pPr>
      <w:r w:rsidRPr="00B07774">
        <w:rPr>
          <w:rStyle w:val="Emphasis"/>
          <w:i w:val="0"/>
          <w:color w:val="000000"/>
        </w:rPr>
        <w:t>Outlines the procurement process and confirms</w:t>
      </w:r>
      <w:r w:rsidRPr="00B07774">
        <w:rPr>
          <w:i/>
          <w:color w:val="000000"/>
        </w:rPr>
        <w:t xml:space="preserve"> </w:t>
      </w:r>
      <w:r w:rsidR="006F71A2" w:rsidRPr="00B07774">
        <w:rPr>
          <w:color w:val="000000"/>
        </w:rPr>
        <w:t>the preferred supplier(s) for the Preferred Option and the negotiated commercial and contractual arrangements for any procurement</w:t>
      </w:r>
      <w:bookmarkEnd w:id="163"/>
      <w:bookmarkEnd w:id="164"/>
      <w:r w:rsidR="006F71A2" w:rsidRPr="00B07774">
        <w:rPr>
          <w:color w:val="000000"/>
        </w:rPr>
        <w:t xml:space="preserve"> – to optimise value for money</w:t>
      </w:r>
    </w:p>
    <w:p w14:paraId="365AE719" w14:textId="77777777" w:rsidR="006F71A2" w:rsidRPr="00B07774" w:rsidRDefault="00906E9E" w:rsidP="00CD1A83">
      <w:pPr>
        <w:pStyle w:val="Bullet-list"/>
        <w:rPr>
          <w:b/>
          <w:color w:val="000000"/>
        </w:rPr>
      </w:pPr>
      <w:bookmarkStart w:id="165" w:name="_Toc430703996"/>
      <w:bookmarkStart w:id="166" w:name="_Toc430704064"/>
      <w:r w:rsidRPr="00B07774">
        <w:rPr>
          <w:color w:val="000000"/>
        </w:rPr>
        <w:t>C</w:t>
      </w:r>
      <w:r w:rsidR="006F71A2" w:rsidRPr="00B07774">
        <w:rPr>
          <w:color w:val="000000"/>
        </w:rPr>
        <w:t>onfirms that the proposed funding arrangements are affordable</w:t>
      </w:r>
      <w:bookmarkEnd w:id="165"/>
      <w:bookmarkEnd w:id="166"/>
    </w:p>
    <w:p w14:paraId="58606DE4" w14:textId="77777777" w:rsidR="006F71A2" w:rsidRPr="00B07774" w:rsidRDefault="007B1DE5" w:rsidP="00CD1A83">
      <w:pPr>
        <w:pStyle w:val="Bullet-list"/>
        <w:rPr>
          <w:b/>
          <w:color w:val="000000"/>
        </w:rPr>
      </w:pPr>
      <w:bookmarkStart w:id="167" w:name="_Toc430703997"/>
      <w:bookmarkStart w:id="168" w:name="_Toc430704065"/>
      <w:r w:rsidRPr="00B07774">
        <w:rPr>
          <w:rStyle w:val="Emphasis"/>
          <w:i w:val="0"/>
          <w:color w:val="000000"/>
        </w:rPr>
        <w:t>Describes</w:t>
      </w:r>
      <w:r w:rsidR="00906E9E" w:rsidRPr="00B07774">
        <w:rPr>
          <w:color w:val="000000"/>
        </w:rPr>
        <w:t xml:space="preserve"> </w:t>
      </w:r>
      <w:r w:rsidR="006F71A2" w:rsidRPr="00B07774">
        <w:rPr>
          <w:color w:val="000000"/>
        </w:rPr>
        <w:t xml:space="preserve">the </w:t>
      </w:r>
      <w:r w:rsidRPr="00B07774">
        <w:rPr>
          <w:rStyle w:val="Emphasis"/>
          <w:i w:val="0"/>
          <w:color w:val="000000"/>
        </w:rPr>
        <w:t>governance, management and control</w:t>
      </w:r>
      <w:r w:rsidR="006F71A2" w:rsidRPr="00B07774">
        <w:rPr>
          <w:color w:val="000000"/>
        </w:rPr>
        <w:t xml:space="preserve"> arrangements </w:t>
      </w:r>
      <w:r w:rsidR="007E6969" w:rsidRPr="00B07774">
        <w:rPr>
          <w:color w:val="000000"/>
        </w:rPr>
        <w:t>to ensure</w:t>
      </w:r>
      <w:r w:rsidR="006F71A2" w:rsidRPr="00B07774">
        <w:rPr>
          <w:color w:val="000000"/>
        </w:rPr>
        <w:t xml:space="preserve"> successful delivery of the project.</w:t>
      </w:r>
      <w:bookmarkEnd w:id="167"/>
      <w:bookmarkEnd w:id="168"/>
    </w:p>
    <w:p w14:paraId="0664AC6F" w14:textId="73C825EC" w:rsidR="006F71A2" w:rsidRDefault="006F71A2" w:rsidP="00CD1A83">
      <w:pPr>
        <w:spacing w:line="260" w:lineRule="atLeast"/>
      </w:pPr>
      <w:r w:rsidRPr="00EF05F5">
        <w:t xml:space="preserve">For government department and state sector projects, approval </w:t>
      </w:r>
      <w:r w:rsidR="00301976">
        <w:t xml:space="preserve">generally </w:t>
      </w:r>
      <w:r w:rsidRPr="00EF05F5">
        <w:t>enables draw</w:t>
      </w:r>
      <w:r>
        <w:t>-</w:t>
      </w:r>
      <w:r w:rsidRPr="00EF05F5">
        <w:t xml:space="preserve">down of funding </w:t>
      </w:r>
      <w:r w:rsidR="008733F2">
        <w:t>as approved from the</w:t>
      </w:r>
      <w:r w:rsidR="0087038D">
        <w:t xml:space="preserve"> previous business case</w:t>
      </w:r>
      <w:r w:rsidR="008733F2">
        <w:t xml:space="preserve"> or budget bid.</w:t>
      </w:r>
    </w:p>
    <w:p w14:paraId="5F37C150" w14:textId="77777777" w:rsidR="00C3276E" w:rsidRPr="00D17BFC" w:rsidRDefault="00C3276E" w:rsidP="006E4FDB">
      <w:pPr>
        <w:pStyle w:val="Heading3"/>
      </w:pPr>
      <w:r w:rsidRPr="00D17BFC">
        <w:t>Structure of this guidance</w:t>
      </w:r>
    </w:p>
    <w:p w14:paraId="2349D39D" w14:textId="77777777" w:rsidR="00C920B0" w:rsidRPr="00C3276E" w:rsidRDefault="00C920B0" w:rsidP="00CD1A83">
      <w:pPr>
        <w:spacing w:line="260" w:lineRule="atLeast"/>
      </w:pPr>
      <w:r>
        <w:t>This guidance is structured around the five cases and 34 actions. The purpose of each action is described together with what is expected and the evidence that should be provided. It also contains tips and examples to assist business case developers.</w:t>
      </w:r>
    </w:p>
    <w:p w14:paraId="008E9013" w14:textId="77777777" w:rsidR="00C3276E" w:rsidRPr="00D17BFC" w:rsidRDefault="00C3276E" w:rsidP="006E4FDB">
      <w:pPr>
        <w:pStyle w:val="Heading3"/>
      </w:pPr>
      <w:r w:rsidRPr="00D17BFC">
        <w:t>Suggested methods and tools</w:t>
      </w:r>
    </w:p>
    <w:p w14:paraId="7839DCC0" w14:textId="77777777" w:rsidR="00C3276E" w:rsidRDefault="00C3276E" w:rsidP="0087038D">
      <w:pPr>
        <w:spacing w:line="260" w:lineRule="atLeast"/>
      </w:pPr>
      <w:r>
        <w:t>A</w:t>
      </w:r>
      <w:r w:rsidRPr="00477831">
        <w:t xml:space="preserve"> va</w:t>
      </w:r>
      <w:r>
        <w:t xml:space="preserve">riety of methods and tools </w:t>
      </w:r>
      <w:r w:rsidRPr="00477831">
        <w:t xml:space="preserve">can be used in the development of the business case. When considering the approach to be used, developers should consider </w:t>
      </w:r>
      <w:r>
        <w:t>which</w:t>
      </w:r>
      <w:r w:rsidRPr="00477831">
        <w:t xml:space="preserve"> they will use</w:t>
      </w:r>
      <w:r>
        <w:t xml:space="preserve">. </w:t>
      </w:r>
      <w:r w:rsidRPr="00477831">
        <w:t xml:space="preserve">Reviewers will consider whether the methods (and tools) are suitable, proven, </w:t>
      </w:r>
      <w:r>
        <w:t xml:space="preserve">and </w:t>
      </w:r>
      <w:r w:rsidRPr="00477831">
        <w:t>inclusive, and capability should exist to apply it.</w:t>
      </w:r>
    </w:p>
    <w:p w14:paraId="5ED6A643" w14:textId="77777777" w:rsidR="00C3276E" w:rsidRDefault="00C3276E" w:rsidP="0087038D">
      <w:pPr>
        <w:spacing w:line="260" w:lineRule="atLeast"/>
      </w:pPr>
      <w:r>
        <w:t xml:space="preserve">Methods and tools identified in this guidance, and others that can be used in this and other stages of the business case: </w:t>
      </w:r>
      <w:hyperlink r:id="rId33" w:history="1">
        <w:r w:rsidRPr="00D17BFC">
          <w:rPr>
            <w:rStyle w:val="Hyperlink"/>
          </w:rPr>
          <w:t>https://treasury.govt.nz/information-and-services/state-sector-leadership/investment-management/better-business-cases-bbc/bbc-methods-and-tools</w:t>
        </w:r>
      </w:hyperlink>
    </w:p>
    <w:p w14:paraId="6BB54F19" w14:textId="77777777" w:rsidR="00C3276E" w:rsidRPr="00C3276E" w:rsidRDefault="00C3276E" w:rsidP="0087038D">
      <w:pPr>
        <w:spacing w:line="260" w:lineRule="atLeast"/>
        <w:rPr>
          <w:rStyle w:val="Hyperlink"/>
        </w:rPr>
      </w:pPr>
      <w:r>
        <w:fldChar w:fldCharType="begin"/>
      </w:r>
      <w:r>
        <w:instrText xml:space="preserve"> HYPERLINK  \l "_Before_you_start:" </w:instrText>
      </w:r>
      <w:r>
        <w:fldChar w:fldCharType="separate"/>
      </w:r>
      <w:r w:rsidRPr="00C3276E">
        <w:rPr>
          <w:rStyle w:val="Hyperlink"/>
        </w:rPr>
        <w:t>&lt;</w:t>
      </w:r>
      <w:proofErr w:type="gramStart"/>
      <w:r w:rsidRPr="00C3276E">
        <w:rPr>
          <w:rStyle w:val="Hyperlink"/>
        </w:rPr>
        <w:t>back</w:t>
      </w:r>
      <w:proofErr w:type="gramEnd"/>
      <w:r w:rsidRPr="00C3276E">
        <w:rPr>
          <w:rStyle w:val="Hyperlink"/>
        </w:rPr>
        <w:t xml:space="preserve"> to template&gt;</w:t>
      </w:r>
    </w:p>
    <w:p w14:paraId="25A86E77" w14:textId="77777777" w:rsidR="00C3276E" w:rsidRPr="00EF05F5" w:rsidRDefault="00C3276E" w:rsidP="0087038D">
      <w:pPr>
        <w:spacing w:line="260" w:lineRule="atLeast"/>
      </w:pPr>
      <w:r>
        <w:fldChar w:fldCharType="end"/>
      </w:r>
    </w:p>
    <w:p w14:paraId="49A292C9" w14:textId="0068DEF3" w:rsidR="008B2773" w:rsidRPr="00690F31" w:rsidRDefault="008B2773" w:rsidP="006E4FDB">
      <w:pPr>
        <w:pStyle w:val="Heading1"/>
      </w:pPr>
      <w:bookmarkStart w:id="169" w:name="_Strategic_and_Economic"/>
      <w:bookmarkStart w:id="170" w:name="_Toc50549010"/>
      <w:bookmarkEnd w:id="169"/>
      <w:r w:rsidRPr="00690F31">
        <w:t>Strategic and Economic Cases</w:t>
      </w:r>
      <w:bookmarkEnd w:id="170"/>
      <w:r w:rsidRPr="00690F31">
        <w:t xml:space="preserve"> </w:t>
      </w:r>
      <w:bookmarkEnd w:id="152"/>
      <w:bookmarkEnd w:id="153"/>
      <w:bookmarkEnd w:id="154"/>
    </w:p>
    <w:p w14:paraId="7CE614C3" w14:textId="77777777" w:rsidR="005F68E9" w:rsidRPr="00D17BFC" w:rsidRDefault="005F68E9" w:rsidP="006E4FDB">
      <w:pPr>
        <w:pStyle w:val="Heading2"/>
      </w:pPr>
      <w:bookmarkStart w:id="171" w:name="_Toc380324669"/>
      <w:bookmarkStart w:id="172" w:name="_Toc428824698"/>
      <w:bookmarkStart w:id="173" w:name="_Toc431310378"/>
      <w:bookmarkStart w:id="174" w:name="_Toc20312813"/>
      <w:bookmarkStart w:id="175" w:name="_Toc25746793"/>
      <w:bookmarkStart w:id="176" w:name="_Toc381131318"/>
      <w:bookmarkStart w:id="177" w:name="_Toc430704069"/>
      <w:bookmarkStart w:id="178" w:name="_Toc431213558"/>
      <w:r>
        <w:t>Step 8</w:t>
      </w:r>
      <w:r w:rsidRPr="00D17BFC">
        <w:t xml:space="preserve">: </w:t>
      </w:r>
      <w:bookmarkEnd w:id="171"/>
      <w:bookmarkEnd w:id="172"/>
      <w:bookmarkEnd w:id="173"/>
      <w:bookmarkEnd w:id="174"/>
      <w:bookmarkEnd w:id="175"/>
      <w:r>
        <w:t>Procuring the best value solution</w:t>
      </w:r>
    </w:p>
    <w:p w14:paraId="21B784B0" w14:textId="23B8D238" w:rsidR="005F68E9" w:rsidRPr="00211397" w:rsidRDefault="005F68E9" w:rsidP="00CD1A83">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rPr>
          <w:color w:val="2F5496"/>
          <w:sz w:val="20"/>
        </w:rPr>
      </w:pPr>
      <w:r w:rsidRPr="00211397">
        <w:rPr>
          <w:color w:val="2F5496"/>
          <w:sz w:val="20"/>
        </w:rPr>
        <w:t>Action 25</w:t>
      </w:r>
      <w:r w:rsidR="00211397" w:rsidRPr="00211397">
        <w:rPr>
          <w:color w:val="2F5496"/>
          <w:sz w:val="20"/>
        </w:rPr>
        <w:t xml:space="preserve">: </w:t>
      </w:r>
      <w:r w:rsidRPr="00211397">
        <w:rPr>
          <w:color w:val="2F5496"/>
          <w:sz w:val="20"/>
        </w:rPr>
        <w:t>Revisit the case for change (Strategic Case)</w:t>
      </w:r>
    </w:p>
    <w:p w14:paraId="186A138E" w14:textId="59854105" w:rsidR="005F68E9" w:rsidRPr="00211397" w:rsidRDefault="005F68E9" w:rsidP="00CD1A83">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rPr>
          <w:color w:val="2F5496"/>
          <w:sz w:val="20"/>
        </w:rPr>
      </w:pPr>
      <w:r w:rsidRPr="00211397">
        <w:rPr>
          <w:color w:val="2F5496"/>
          <w:sz w:val="20"/>
        </w:rPr>
        <w:t>Action 26</w:t>
      </w:r>
      <w:r w:rsidR="00211397" w:rsidRPr="00211397">
        <w:rPr>
          <w:color w:val="2F5496"/>
          <w:sz w:val="20"/>
        </w:rPr>
        <w:t xml:space="preserve">: </w:t>
      </w:r>
      <w:r w:rsidRPr="00211397">
        <w:rPr>
          <w:color w:val="2F5496"/>
          <w:sz w:val="20"/>
        </w:rPr>
        <w:t>Revisit the Preferred Options (Economic Case)</w:t>
      </w:r>
    </w:p>
    <w:p w14:paraId="387CEA3B" w14:textId="4590D32A" w:rsidR="008B2773" w:rsidRPr="00690F31" w:rsidRDefault="008B2773" w:rsidP="006E4FDB">
      <w:pPr>
        <w:pStyle w:val="Heading2"/>
      </w:pPr>
      <w:r w:rsidRPr="00690F31">
        <w:t>Action 25: Revisit the Case for Change</w:t>
      </w:r>
      <w:bookmarkEnd w:id="176"/>
      <w:bookmarkEnd w:id="177"/>
      <w:bookmarkEnd w:id="178"/>
      <w:r w:rsidR="005F68E9">
        <w:t xml:space="preserve"> (Strategic Case)</w:t>
      </w:r>
    </w:p>
    <w:p w14:paraId="2B32A364" w14:textId="77777777" w:rsidR="008B2773" w:rsidRDefault="008B2773" w:rsidP="006E4FDB">
      <w:pPr>
        <w:pStyle w:val="Heading3"/>
      </w:pPr>
      <w:r>
        <w:t>Purpose</w:t>
      </w:r>
    </w:p>
    <w:p w14:paraId="50B2F185" w14:textId="56C89F0C" w:rsidR="008B2773" w:rsidRDefault="008B2773" w:rsidP="0087038D">
      <w:pPr>
        <w:spacing w:line="260" w:lineRule="atLeast"/>
      </w:pPr>
      <w:r>
        <w:t xml:space="preserve">The purpose of this action is </w:t>
      </w:r>
      <w:r w:rsidR="007F34D1">
        <w:t xml:space="preserve">to </w:t>
      </w:r>
      <w:r>
        <w:t xml:space="preserve">confirm </w:t>
      </w:r>
      <w:r w:rsidR="006A2166">
        <w:t>(</w:t>
      </w:r>
      <w:r>
        <w:t>or update</w:t>
      </w:r>
      <w:r w:rsidR="006A2166">
        <w:t>)</w:t>
      </w:r>
      <w:r>
        <w:t xml:space="preserve"> the Strategic Case. </w:t>
      </w:r>
      <w:r w:rsidRPr="00690F31">
        <w:t xml:space="preserve"> Alterations </w:t>
      </w:r>
      <w:r>
        <w:t xml:space="preserve">to the case </w:t>
      </w:r>
      <w:r w:rsidRPr="00690F31">
        <w:t xml:space="preserve">may be </w:t>
      </w:r>
      <w:r>
        <w:t>needed</w:t>
      </w:r>
      <w:r w:rsidRPr="00690F31">
        <w:t xml:space="preserve"> </w:t>
      </w:r>
      <w:r>
        <w:t>because of</w:t>
      </w:r>
      <w:r w:rsidRPr="00690F31">
        <w:t xml:space="preserve"> evolving business needs or service</w:t>
      </w:r>
      <w:r w:rsidR="006A2166">
        <w:t xml:space="preserve"> changes since the start of the business case process</w:t>
      </w:r>
      <w:r w:rsidRPr="00690F31">
        <w:t>.</w:t>
      </w:r>
    </w:p>
    <w:p w14:paraId="7BE84C03" w14:textId="77777777" w:rsidR="006A2166" w:rsidRDefault="006A2166" w:rsidP="006E4FDB">
      <w:pPr>
        <w:pStyle w:val="Heading3"/>
      </w:pPr>
      <w:r>
        <w:t>Suggested evidence</w:t>
      </w:r>
    </w:p>
    <w:p w14:paraId="19B900FC" w14:textId="77777777" w:rsidR="006A2166" w:rsidRDefault="006A2166" w:rsidP="0087038D">
      <w:pPr>
        <w:spacing w:line="260" w:lineRule="atLeast"/>
      </w:pPr>
      <w:r>
        <w:t>We recommend that a facilitated workshop be held with key stakeholders to revisit the Strategic Case – this is the quickest and most effective way to determine if there have been substantive changes.</w:t>
      </w:r>
    </w:p>
    <w:p w14:paraId="69677A9E" w14:textId="698A7230" w:rsidR="006A2166" w:rsidRDefault="006A2166" w:rsidP="0087038D">
      <w:pPr>
        <w:spacing w:line="260" w:lineRule="atLeast"/>
      </w:pPr>
      <w:r w:rsidRPr="00690F31">
        <w:t xml:space="preserve">If there has been no significant change, the </w:t>
      </w:r>
      <w:r w:rsidRPr="00C920B0">
        <w:rPr>
          <w:i/>
          <w:iCs/>
        </w:rPr>
        <w:t>minimum requirement</w:t>
      </w:r>
      <w:r w:rsidRPr="00690F31">
        <w:t xml:space="preserve"> is to note within the Implem</w:t>
      </w:r>
      <w:r>
        <w:t>entation Business Case that key stakeholders have reviewed the case for investment and have confirmed that it is unchanged.  Where material changes have occurred, these must be documented</w:t>
      </w:r>
      <w:r w:rsidR="007F34D1">
        <w:t>,</w:t>
      </w:r>
      <w:r>
        <w:t xml:space="preserve"> and confirmation sought that the initiative is still required and meets organisational and government requirements. </w:t>
      </w:r>
    </w:p>
    <w:p w14:paraId="41D7ECA5" w14:textId="77777777" w:rsidR="008B2773" w:rsidRDefault="008B2773" w:rsidP="006E4FDB">
      <w:pPr>
        <w:pStyle w:val="Heading3"/>
      </w:pPr>
      <w:r>
        <w:t>What’s expected</w:t>
      </w:r>
    </w:p>
    <w:p w14:paraId="139E4957" w14:textId="77777777" w:rsidR="008B2773" w:rsidRPr="00690F31" w:rsidRDefault="008B2773" w:rsidP="00CD1A83">
      <w:pPr>
        <w:spacing w:line="260" w:lineRule="atLeast"/>
      </w:pPr>
      <w:r w:rsidRPr="00690F31">
        <w:t xml:space="preserve">If material changes have occurred then </w:t>
      </w:r>
      <w:r>
        <w:t>the Strategic Case should be updated</w:t>
      </w:r>
      <w:r w:rsidRPr="00690F31">
        <w:t>, with particular emphasis on:</w:t>
      </w:r>
    </w:p>
    <w:p w14:paraId="3A704873" w14:textId="77777777" w:rsidR="00254BC8" w:rsidRPr="00690F31" w:rsidRDefault="00254BC8" w:rsidP="00CD1A83">
      <w:pPr>
        <w:pStyle w:val="Bullet-list"/>
      </w:pPr>
      <w:r w:rsidRPr="00690F31">
        <w:t>strategic context for the proposal</w:t>
      </w:r>
    </w:p>
    <w:p w14:paraId="00984650" w14:textId="77777777" w:rsidR="00254BC8" w:rsidRPr="00690F31" w:rsidRDefault="00254BC8" w:rsidP="00CD1A83">
      <w:pPr>
        <w:pStyle w:val="Bullet-list"/>
      </w:pPr>
      <w:r w:rsidRPr="00690F31">
        <w:t>agreed investment objectives</w:t>
      </w:r>
    </w:p>
    <w:p w14:paraId="6CCE1911" w14:textId="77777777" w:rsidR="00254BC8" w:rsidRPr="00690F31" w:rsidRDefault="00254BC8" w:rsidP="00CD1A83">
      <w:pPr>
        <w:pStyle w:val="Bullet-list"/>
      </w:pPr>
      <w:r w:rsidRPr="00690F31">
        <w:t>business needs</w:t>
      </w:r>
    </w:p>
    <w:p w14:paraId="39A48F3F" w14:textId="2D61CF6B" w:rsidR="00254BC8" w:rsidRPr="00690F31" w:rsidRDefault="00254BC8" w:rsidP="00CD1A83">
      <w:pPr>
        <w:pStyle w:val="Bullet-list"/>
      </w:pPr>
      <w:r w:rsidRPr="00690F31">
        <w:t>earlier scope and service requirements</w:t>
      </w:r>
    </w:p>
    <w:p w14:paraId="791842D1" w14:textId="77777777" w:rsidR="00254BC8" w:rsidRPr="00690F31" w:rsidRDefault="00254BC8" w:rsidP="00CD1A83">
      <w:pPr>
        <w:pStyle w:val="Bullet-list"/>
      </w:pPr>
      <w:proofErr w:type="gramStart"/>
      <w:r w:rsidRPr="00690F31">
        <w:t>benefits</w:t>
      </w:r>
      <w:proofErr w:type="gramEnd"/>
      <w:r w:rsidRPr="00690F31">
        <w:t>, costs, risks, dependencies and constraints.</w:t>
      </w:r>
    </w:p>
    <w:p w14:paraId="32C85173" w14:textId="77777777" w:rsidR="00254BC8" w:rsidRDefault="00254BC8" w:rsidP="00CD1A83">
      <w:pPr>
        <w:spacing w:line="260" w:lineRule="atLeast"/>
      </w:pPr>
      <w:r w:rsidRPr="00690F31">
        <w:t xml:space="preserve">If the changes are major, a review of previous decisions and approvals may be required. </w:t>
      </w:r>
    </w:p>
    <w:p w14:paraId="49E976A1" w14:textId="77777777" w:rsidR="00254BC8" w:rsidRPr="00690F31" w:rsidRDefault="00254BC8" w:rsidP="006E4FDB">
      <w:pPr>
        <w:pStyle w:val="Heading2"/>
      </w:pPr>
      <w:bookmarkStart w:id="179" w:name="_Action_26:_Revisit"/>
      <w:bookmarkStart w:id="180" w:name="_Toc381131319"/>
      <w:bookmarkStart w:id="181" w:name="_Toc430704070"/>
      <w:bookmarkStart w:id="182" w:name="_Toc431213559"/>
      <w:bookmarkEnd w:id="179"/>
      <w:r w:rsidRPr="00690F31">
        <w:t>Action 26: Revisit the Preferred Option</w:t>
      </w:r>
      <w:bookmarkEnd w:id="180"/>
      <w:bookmarkEnd w:id="181"/>
      <w:bookmarkEnd w:id="182"/>
      <w:r w:rsidRPr="00690F31">
        <w:t xml:space="preserve"> </w:t>
      </w:r>
      <w:r w:rsidR="005F68E9">
        <w:t>(Economic Case)</w:t>
      </w:r>
    </w:p>
    <w:p w14:paraId="1C78CDC4" w14:textId="77777777" w:rsidR="00254BC8" w:rsidRDefault="00254BC8" w:rsidP="006E4FDB">
      <w:pPr>
        <w:pStyle w:val="Heading3"/>
      </w:pPr>
      <w:r w:rsidRPr="000A6196">
        <w:t>Purpose</w:t>
      </w:r>
    </w:p>
    <w:p w14:paraId="617A926C" w14:textId="765DA742" w:rsidR="00D26F82" w:rsidRDefault="00254BC8" w:rsidP="0087038D">
      <w:pPr>
        <w:spacing w:after="60" w:line="260" w:lineRule="atLeast"/>
      </w:pPr>
      <w:r w:rsidRPr="000A6196">
        <w:t xml:space="preserve">The purpose of this action is </w:t>
      </w:r>
      <w:r w:rsidR="007F34D1">
        <w:t xml:space="preserve">to </w:t>
      </w:r>
      <w:r w:rsidRPr="000A6196">
        <w:t xml:space="preserve">confirm or update the </w:t>
      </w:r>
      <w:r>
        <w:t>preferred option</w:t>
      </w:r>
      <w:r w:rsidRPr="000A6196">
        <w:t xml:space="preserve">.  </w:t>
      </w:r>
      <w:r>
        <w:t>This is required because</w:t>
      </w:r>
      <w:r w:rsidR="00D26F82">
        <w:t>:</w:t>
      </w:r>
    </w:p>
    <w:p w14:paraId="3650183F" w14:textId="77777777" w:rsidR="00254BC8" w:rsidRDefault="00D26F82" w:rsidP="00CD1A83">
      <w:pPr>
        <w:pStyle w:val="Bullet-list"/>
      </w:pPr>
      <w:r>
        <w:t>S</w:t>
      </w:r>
      <w:r w:rsidR="00254BC8" w:rsidRPr="00690F31">
        <w:t>ince the approval of the previous business case, new information may have become available that impacts on the ranking of the options, and the selection of the preferred option.</w:t>
      </w:r>
    </w:p>
    <w:p w14:paraId="39BEE8A7" w14:textId="77777777" w:rsidR="00D26F82" w:rsidRDefault="00D26F82" w:rsidP="00CD1A83">
      <w:pPr>
        <w:pStyle w:val="Bullet-list"/>
      </w:pPr>
      <w:r>
        <w:t>Information received from vendors during the procurement process may have changed the detail of the option or the preferred option itself.</w:t>
      </w:r>
    </w:p>
    <w:p w14:paraId="6BF0183F" w14:textId="77777777" w:rsidR="00254BC8" w:rsidRDefault="00254BC8" w:rsidP="006E4FDB">
      <w:pPr>
        <w:pStyle w:val="Heading3"/>
      </w:pPr>
      <w:r>
        <w:t>What’s expected</w:t>
      </w:r>
    </w:p>
    <w:p w14:paraId="74DF10F6" w14:textId="77777777" w:rsidR="00254BC8" w:rsidRPr="00690F31" w:rsidRDefault="00254BC8" w:rsidP="0087038D">
      <w:pPr>
        <w:spacing w:line="260" w:lineRule="atLeast"/>
      </w:pPr>
      <w:r w:rsidRPr="00690F31">
        <w:t xml:space="preserve">The analysis from the previous business case stage should be updated for any changes and the results summarised again in the Implementation Business Case. </w:t>
      </w:r>
    </w:p>
    <w:p w14:paraId="2C9A92BF" w14:textId="0A854839" w:rsidR="00254BC8" w:rsidRDefault="00254BC8" w:rsidP="0087038D">
      <w:pPr>
        <w:spacing w:line="260" w:lineRule="atLeast"/>
      </w:pPr>
      <w:r w:rsidRPr="00690F31">
        <w:t>In the case of significant change</w:t>
      </w:r>
      <w:r w:rsidR="007F34D1">
        <w:t>,</w:t>
      </w:r>
      <w:r w:rsidRPr="00690F31">
        <w:t xml:space="preserve"> it is possible that decision-makers’ expectations as part of approval have not been met.</w:t>
      </w:r>
      <w:r w:rsidR="005F68E9">
        <w:t xml:space="preserve"> </w:t>
      </w:r>
      <w:r w:rsidRPr="00690F31">
        <w:t xml:space="preserve"> A more detailed report-back</w:t>
      </w:r>
      <w:r w:rsidR="00D26F82">
        <w:t xml:space="preserve">, or even a revised Detailed/Single Stage Business Case, </w:t>
      </w:r>
      <w:r w:rsidRPr="00690F31">
        <w:t xml:space="preserve">may </w:t>
      </w:r>
      <w:r w:rsidR="00D26F82">
        <w:t>need to be completed and resubmitted</w:t>
      </w:r>
      <w:r w:rsidRPr="00690F31">
        <w:t xml:space="preserve"> with alternative recommendations</w:t>
      </w:r>
      <w:r w:rsidR="008B52AA">
        <w:t xml:space="preserve"> and updated analysis to show that a new Preferred Option provides best public value</w:t>
      </w:r>
      <w:proofErr w:type="gramStart"/>
      <w:r w:rsidR="008B52AA">
        <w:t>.</w:t>
      </w:r>
      <w:r w:rsidRPr="00690F31">
        <w:t>.</w:t>
      </w:r>
      <w:proofErr w:type="gramEnd"/>
      <w:r w:rsidRPr="00690F31">
        <w:t xml:space="preserve"> </w:t>
      </w:r>
    </w:p>
    <w:p w14:paraId="40FC7A16" w14:textId="77777777" w:rsidR="00254BC8" w:rsidRDefault="00254BC8" w:rsidP="006E4FDB">
      <w:pPr>
        <w:pStyle w:val="Heading3"/>
      </w:pPr>
      <w:r>
        <w:t>Suggested evidence</w:t>
      </w:r>
    </w:p>
    <w:p w14:paraId="30E46985" w14:textId="186ED71D" w:rsidR="00254BC8" w:rsidRDefault="00254BC8" w:rsidP="0087038D">
      <w:pPr>
        <w:spacing w:after="240" w:line="260" w:lineRule="atLeast"/>
      </w:pPr>
      <w:r w:rsidRPr="00690F31">
        <w:t xml:space="preserve">If an alternative option is to be recommended, the Implementation Business Case should </w:t>
      </w:r>
      <w:r w:rsidR="00D26F82">
        <w:t xml:space="preserve">update the economic analysis, including any changes in the risks, benefits and preferred option, and </w:t>
      </w:r>
      <w:r w:rsidRPr="00690F31">
        <w:t>demonstrate that this option p</w:t>
      </w:r>
      <w:r w:rsidR="00D26F82">
        <w:t>rovides improved value</w:t>
      </w:r>
      <w:r w:rsidRPr="00690F31">
        <w:t xml:space="preserve"> compared to the other available options, including the original preferred option.</w:t>
      </w:r>
      <w:r w:rsidR="008B52AA">
        <w:t xml:space="preserve">  The updated detailed Economic Analysis must be </w:t>
      </w:r>
      <w:r w:rsidR="00941AEC">
        <w:t>attached as</w:t>
      </w:r>
      <w:r w:rsidR="008B52AA">
        <w:t xml:space="preserve"> </w:t>
      </w:r>
      <w:hyperlink w:anchor="_Annex_2:" w:history="1">
        <w:r w:rsidR="00941AEC">
          <w:rPr>
            <w:rStyle w:val="Hyperlink"/>
          </w:rPr>
          <w:t>Annex 3</w:t>
        </w:r>
      </w:hyperlink>
      <w:r w:rsidR="00941AEC">
        <w:t>.</w:t>
      </w:r>
    </w:p>
    <w:p w14:paraId="6F3F4188" w14:textId="19937BD8" w:rsidR="00941AEC" w:rsidRDefault="00941AEC" w:rsidP="0087038D">
      <w:pPr>
        <w:spacing w:after="240" w:line="260" w:lineRule="atLeast"/>
      </w:pPr>
      <w:r>
        <w:t xml:space="preserve">The Benefits Realisation Plan must be updated to include any substantive changes to benefits as a result of the procurement process (new benefits or </w:t>
      </w:r>
      <w:proofErr w:type="spellStart"/>
      <w:r>
        <w:t>disbenefits</w:t>
      </w:r>
      <w:proofErr w:type="spellEnd"/>
      <w:r>
        <w:t>, changes to level of benefits, deleted benefits). The reason for the change should be noted.  Changes must be reflected in the updated Economic Analysis</w:t>
      </w:r>
    </w:p>
    <w:p w14:paraId="45B0F0C1" w14:textId="77777777" w:rsidR="00254BC8" w:rsidRPr="008372FE" w:rsidRDefault="00254BC8" w:rsidP="008A68B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4"/>
        </w:rPr>
      </w:pPr>
      <w:r>
        <w:rPr>
          <w:sz w:val="24"/>
        </w:rPr>
        <w:t>Confirm</w:t>
      </w:r>
      <w:r w:rsidRPr="008372FE">
        <w:rPr>
          <w:sz w:val="24"/>
        </w:rPr>
        <w:t xml:space="preserve"> the Benefits for the economic appraisals</w:t>
      </w:r>
    </w:p>
    <w:p w14:paraId="3010E2FF" w14:textId="77777777" w:rsidR="0093183D" w:rsidRPr="00CD1A83" w:rsidRDefault="0093183D"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rStyle w:val="Emphasis"/>
        </w:rPr>
      </w:pPr>
      <w:r w:rsidRPr="00CD1A83">
        <w:rPr>
          <w:rStyle w:val="Emphasis"/>
        </w:rPr>
        <w:t>The project should now have a very clear understanding of the benefits.</w:t>
      </w:r>
      <w:r w:rsidR="00301976" w:rsidRPr="00CD1A83">
        <w:rPr>
          <w:rStyle w:val="Emphasis"/>
        </w:rPr>
        <w:t xml:space="preserve"> </w:t>
      </w:r>
      <w:r w:rsidRPr="00CD1A83">
        <w:rPr>
          <w:rStyle w:val="Emphasis"/>
        </w:rPr>
        <w:t xml:space="preserve"> Having a solution and an implementation plan, the last assumptions on benefits can be assessed and impacts confirmed.  This is the last off-ramp for the investment decision, so the agency must be sure of the total value and have that information ready for the investor.</w:t>
      </w:r>
    </w:p>
    <w:p w14:paraId="12E12409" w14:textId="77777777" w:rsidR="00254BC8" w:rsidRPr="00CD1A83"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tabs>
          <w:tab w:val="left" w:pos="1134"/>
        </w:tabs>
        <w:spacing w:after="80" w:line="260" w:lineRule="atLeast"/>
        <w:rPr>
          <w:sz w:val="20"/>
        </w:rPr>
      </w:pPr>
      <w:r w:rsidRPr="00CD1A83">
        <w:rPr>
          <w:sz w:val="20"/>
        </w:rPr>
        <w:t xml:space="preserve">A benefit is any gain in the wellbeing of individuals and society arising from the investment proposal. </w:t>
      </w:r>
      <w:r w:rsidR="00751EC7" w:rsidRPr="00CD1A83">
        <w:rPr>
          <w:sz w:val="20"/>
        </w:rPr>
        <w:t xml:space="preserve"> </w:t>
      </w:r>
      <w:r w:rsidRPr="00CD1A83">
        <w:rPr>
          <w:sz w:val="20"/>
        </w:rPr>
        <w:t>For example, it can include the time savings from reduced travelling times on a new motorway</w:t>
      </w:r>
      <w:r w:rsidR="00751EC7" w:rsidRPr="00CD1A83">
        <w:rPr>
          <w:sz w:val="20"/>
        </w:rPr>
        <w:t>,</w:t>
      </w:r>
      <w:r w:rsidRPr="00CD1A83">
        <w:rPr>
          <w:sz w:val="20"/>
        </w:rPr>
        <w:t xml:space="preserve"> or the increase in quality of life years remaining as a result of a new pharmaceutical treatment.  Different stakeholder groups derive different benefits (and dis-benefits) from an investment proposal and will have different perspectives on the value added. </w:t>
      </w:r>
    </w:p>
    <w:p w14:paraId="6230271D" w14:textId="77777777" w:rsidR="00254BC8" w:rsidRPr="00CD1A83"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tabs>
          <w:tab w:val="left" w:pos="1134"/>
        </w:tabs>
        <w:spacing w:after="80" w:line="260" w:lineRule="atLeast"/>
        <w:rPr>
          <w:rStyle w:val="Emphasis"/>
          <w:i w:val="0"/>
          <w:color w:val="000000"/>
        </w:rPr>
      </w:pPr>
      <w:r w:rsidRPr="00CD1A83">
        <w:rPr>
          <w:sz w:val="20"/>
        </w:rPr>
        <w:t xml:space="preserve">Benefits should not be limited to financial benefits. </w:t>
      </w:r>
      <w:r w:rsidR="00751EC7" w:rsidRPr="00CD1A83">
        <w:rPr>
          <w:sz w:val="20"/>
        </w:rPr>
        <w:t xml:space="preserve"> </w:t>
      </w:r>
      <w:r w:rsidRPr="00CD1A83">
        <w:rPr>
          <w:sz w:val="20"/>
        </w:rPr>
        <w:t xml:space="preserve">Although many benefits can be quantified financially, there are others where it is difficult, undesirable, or insensitive to attribute a financial value. </w:t>
      </w:r>
      <w:r w:rsidR="00751EC7" w:rsidRPr="00CD1A83">
        <w:rPr>
          <w:sz w:val="20"/>
        </w:rPr>
        <w:t xml:space="preserve"> </w:t>
      </w:r>
      <w:r w:rsidRPr="00CD1A83">
        <w:rPr>
          <w:sz w:val="20"/>
        </w:rPr>
        <w:t xml:space="preserve">These benefits are called </w:t>
      </w:r>
      <w:r w:rsidRPr="00CD1A83">
        <w:rPr>
          <w:i/>
          <w:sz w:val="20"/>
        </w:rPr>
        <w:t xml:space="preserve">non-monetary </w:t>
      </w:r>
      <w:r w:rsidRPr="00CD1A83">
        <w:rPr>
          <w:sz w:val="20"/>
        </w:rPr>
        <w:t xml:space="preserve">but are </w:t>
      </w:r>
      <w:r w:rsidRPr="00CD1A83">
        <w:rPr>
          <w:rStyle w:val="Emphasis"/>
          <w:color w:val="000000"/>
        </w:rPr>
        <w:t>quantifiable</w:t>
      </w:r>
      <w:r w:rsidRPr="00CD1A83">
        <w:rPr>
          <w:rStyle w:val="Emphasis"/>
          <w:i w:val="0"/>
          <w:color w:val="000000"/>
        </w:rPr>
        <w:t xml:space="preserve"> (</w:t>
      </w:r>
      <w:proofErr w:type="spellStart"/>
      <w:r w:rsidRPr="00CD1A83">
        <w:rPr>
          <w:rStyle w:val="Emphasis"/>
          <w:i w:val="0"/>
          <w:color w:val="000000"/>
        </w:rPr>
        <w:t>eg</w:t>
      </w:r>
      <w:proofErr w:type="spellEnd"/>
      <w:r w:rsidRPr="00CD1A83">
        <w:rPr>
          <w:rStyle w:val="Emphasis"/>
          <w:i w:val="0"/>
          <w:color w:val="000000"/>
        </w:rPr>
        <w:t xml:space="preserve"> reduced customer complaints, some Wellbeing benefits). </w:t>
      </w:r>
      <w:r w:rsidR="00751EC7" w:rsidRPr="00CD1A83">
        <w:rPr>
          <w:rStyle w:val="Emphasis"/>
          <w:i w:val="0"/>
          <w:color w:val="000000"/>
        </w:rPr>
        <w:t xml:space="preserve"> </w:t>
      </w:r>
      <w:r w:rsidRPr="00CD1A83">
        <w:rPr>
          <w:rStyle w:val="Emphasis"/>
          <w:color w:val="000000"/>
        </w:rPr>
        <w:t xml:space="preserve">Qualitative </w:t>
      </w:r>
      <w:r w:rsidRPr="00CD1A83">
        <w:rPr>
          <w:rStyle w:val="Emphasis"/>
          <w:i w:val="0"/>
          <w:color w:val="000000"/>
        </w:rPr>
        <w:t>benefits may be observable but not easily measured (</w:t>
      </w:r>
      <w:proofErr w:type="spellStart"/>
      <w:r w:rsidRPr="00CD1A83">
        <w:rPr>
          <w:rStyle w:val="Emphasis"/>
          <w:i w:val="0"/>
          <w:color w:val="000000"/>
        </w:rPr>
        <w:t>eg</w:t>
      </w:r>
      <w:proofErr w:type="spellEnd"/>
      <w:r w:rsidRPr="00CD1A83">
        <w:rPr>
          <w:rStyle w:val="Emphasis"/>
          <w:i w:val="0"/>
          <w:color w:val="000000"/>
        </w:rPr>
        <w:t xml:space="preserve"> improved staff morale, better decision-making). </w:t>
      </w:r>
      <w:proofErr w:type="spellStart"/>
      <w:r w:rsidRPr="00CD1A83">
        <w:rPr>
          <w:rStyle w:val="Emphasis"/>
          <w:color w:val="000000"/>
        </w:rPr>
        <w:t>Disbenefits</w:t>
      </w:r>
      <w:proofErr w:type="spellEnd"/>
      <w:r w:rsidRPr="00CD1A83">
        <w:rPr>
          <w:rStyle w:val="Emphasis"/>
          <w:i w:val="0"/>
          <w:color w:val="000000"/>
        </w:rPr>
        <w:t xml:space="preserve"> have negative impacts on stakeholders.</w:t>
      </w:r>
    </w:p>
    <w:p w14:paraId="6C596610" w14:textId="77777777" w:rsidR="00254BC8" w:rsidRPr="00CD1A83"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tabs>
          <w:tab w:val="left" w:pos="1134"/>
        </w:tabs>
        <w:spacing w:line="260" w:lineRule="atLeast"/>
        <w:rPr>
          <w:rStyle w:val="Emphasis"/>
          <w:i w:val="0"/>
          <w:color w:val="000000"/>
        </w:rPr>
      </w:pPr>
      <w:r w:rsidRPr="00CD1A83">
        <w:rPr>
          <w:rStyle w:val="Emphasis"/>
          <w:i w:val="0"/>
          <w:color w:val="000000"/>
        </w:rPr>
        <w:t>Wherever possible, undertake further analysis to assign monetary values to benefits. The level of effort on any analysis should be agreed with the monitoring agency to ensure it is fit-for-purpose. All benefits and costs that can reasonably be quantified in monetary terms should be included and subject to cost benefit analysis.</w:t>
      </w:r>
    </w:p>
    <w:p w14:paraId="3CAD6E8C" w14:textId="77777777" w:rsidR="00254BC8" w:rsidRPr="00CD1A83"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tabs>
          <w:tab w:val="left" w:pos="1134"/>
        </w:tabs>
        <w:spacing w:after="0" w:line="260" w:lineRule="atLeast"/>
        <w:rPr>
          <w:rStyle w:val="Emphasis"/>
          <w:i w:val="0"/>
          <w:color w:val="000000"/>
        </w:rPr>
      </w:pPr>
      <w:r w:rsidRPr="00CD1A83">
        <w:rPr>
          <w:rStyle w:val="Emphasis"/>
          <w:i w:val="0"/>
          <w:color w:val="000000"/>
        </w:rPr>
        <w:t xml:space="preserve">For benefits guidance see </w:t>
      </w:r>
      <w:hyperlink r:id="rId34" w:history="1">
        <w:r w:rsidRPr="00CD1A83">
          <w:rPr>
            <w:rStyle w:val="Hyperlink"/>
            <w:sz w:val="20"/>
          </w:rPr>
          <w:t>https://treasury.govt.nz/information-and-services/state-sector-leadership/investment-management/plan-investment-choices/benefits-guidance</w:t>
        </w:r>
      </w:hyperlink>
      <w:r w:rsidRPr="00CD1A83">
        <w:rPr>
          <w:rStyle w:val="Emphasis"/>
          <w:i w:val="0"/>
          <w:color w:val="000000"/>
        </w:rPr>
        <w:t xml:space="preserve"> </w:t>
      </w:r>
    </w:p>
    <w:p w14:paraId="399925BD" w14:textId="77777777" w:rsidR="00950A2D" w:rsidRDefault="00950A2D" w:rsidP="0087038D">
      <w:pPr>
        <w:tabs>
          <w:tab w:val="left" w:pos="1134"/>
        </w:tabs>
        <w:spacing w:after="0" w:line="260" w:lineRule="atLeast"/>
        <w:rPr>
          <w:rStyle w:val="Emphasis"/>
          <w:i w:val="0"/>
          <w:color w:val="000000"/>
        </w:rPr>
      </w:pPr>
    </w:p>
    <w:p w14:paraId="434994A8" w14:textId="77777777" w:rsidR="00584A3E" w:rsidRDefault="0093183D" w:rsidP="00211397">
      <w:pPr>
        <w:pStyle w:val="Heading4"/>
        <w:keepLines/>
        <w:pBdr>
          <w:top w:val="single" w:sz="4" w:space="1" w:color="auto"/>
          <w:left w:val="single" w:sz="4" w:space="4" w:color="auto"/>
          <w:bottom w:val="single" w:sz="4" w:space="10" w:color="auto"/>
          <w:right w:val="single" w:sz="4" w:space="4" w:color="auto"/>
        </w:pBdr>
        <w:shd w:val="clear" w:color="auto" w:fill="DEEAF6"/>
        <w:spacing w:before="60" w:line="260" w:lineRule="atLeast"/>
        <w:jc w:val="both"/>
      </w:pPr>
      <w:r>
        <w:t>Priority outcomes, w</w:t>
      </w:r>
      <w:r w:rsidR="00584A3E">
        <w:t>ellbeing and resilience</w:t>
      </w:r>
    </w:p>
    <w:p w14:paraId="78D8D86E" w14:textId="3E72C1F7" w:rsidR="00584A3E" w:rsidRPr="008A68BF" w:rsidRDefault="00CA4AEF" w:rsidP="00211397">
      <w:pPr>
        <w:keepNext/>
        <w:keepLines/>
        <w:pBdr>
          <w:top w:val="single" w:sz="4" w:space="1" w:color="auto"/>
          <w:left w:val="single" w:sz="4" w:space="4" w:color="auto"/>
          <w:bottom w:val="single" w:sz="4" w:space="10" w:color="auto"/>
          <w:right w:val="single" w:sz="4" w:space="4" w:color="auto"/>
        </w:pBdr>
        <w:shd w:val="clear" w:color="auto" w:fill="DEEAF6"/>
        <w:spacing w:line="260" w:lineRule="atLeast"/>
        <w:rPr>
          <w:rFonts w:cs="Arial"/>
          <w:color w:val="000000"/>
          <w:szCs w:val="22"/>
        </w:rPr>
      </w:pPr>
      <w:r w:rsidRPr="008A68BF">
        <w:rPr>
          <w:rStyle w:val="Emphasis"/>
          <w:i w:val="0"/>
          <w:color w:val="000000"/>
          <w:sz w:val="22"/>
          <w:szCs w:val="22"/>
        </w:rPr>
        <w:t>All significant benefits for the Preferred Option should be defined, with reference to the Wellbeing Domains of the NZ Living Standards Framework</w:t>
      </w:r>
      <w:r w:rsidRPr="00993F59">
        <w:rPr>
          <w:rStyle w:val="FootnoteReference"/>
          <w:iCs/>
          <w:color w:val="000000"/>
          <w:sz w:val="22"/>
          <w:szCs w:val="22"/>
          <w:vertAlign w:val="superscript"/>
        </w:rPr>
        <w:footnoteReference w:id="9"/>
      </w:r>
      <w:r w:rsidRPr="008A68BF">
        <w:rPr>
          <w:rStyle w:val="Emphasis"/>
          <w:i w:val="0"/>
          <w:color w:val="000000"/>
          <w:sz w:val="22"/>
          <w:szCs w:val="22"/>
        </w:rPr>
        <w:t xml:space="preserve"> and the government’s </w:t>
      </w:r>
      <w:r w:rsidR="00C920B0" w:rsidRPr="008A68BF">
        <w:rPr>
          <w:rStyle w:val="Emphasis"/>
          <w:i w:val="0"/>
          <w:color w:val="000000"/>
          <w:sz w:val="22"/>
          <w:szCs w:val="22"/>
        </w:rPr>
        <w:t>Broader Procurement Outcomes</w:t>
      </w:r>
      <w:r w:rsidRPr="00993F59">
        <w:rPr>
          <w:rStyle w:val="FootnoteReference"/>
          <w:iCs/>
          <w:color w:val="000000"/>
          <w:sz w:val="22"/>
          <w:szCs w:val="22"/>
          <w:vertAlign w:val="superscript"/>
        </w:rPr>
        <w:footnoteReference w:id="10"/>
      </w:r>
      <w:r w:rsidRPr="008A68BF">
        <w:rPr>
          <w:rStyle w:val="Emphasis"/>
          <w:i w:val="0"/>
          <w:color w:val="000000"/>
          <w:sz w:val="22"/>
          <w:szCs w:val="22"/>
        </w:rPr>
        <w:t xml:space="preserve">.  This recognises the wider perspectives of public value and service resilience for decision-makers when making resource allocation choices.  </w:t>
      </w:r>
      <w:r w:rsidR="00584A3E" w:rsidRPr="008A68BF">
        <w:rPr>
          <w:rFonts w:cs="Arial"/>
          <w:color w:val="000000"/>
          <w:szCs w:val="22"/>
        </w:rPr>
        <w:t xml:space="preserve">If the previous Business Case </w:t>
      </w:r>
      <w:r w:rsidR="00C920B0" w:rsidRPr="008A68BF">
        <w:rPr>
          <w:rFonts w:cs="Arial"/>
          <w:color w:val="000000"/>
          <w:szCs w:val="22"/>
        </w:rPr>
        <w:t xml:space="preserve">(SSBC or DBC) </w:t>
      </w:r>
      <w:r w:rsidR="00584A3E" w:rsidRPr="008A68BF">
        <w:rPr>
          <w:rFonts w:cs="Arial"/>
          <w:color w:val="000000"/>
          <w:szCs w:val="22"/>
        </w:rPr>
        <w:t xml:space="preserve">was not developed with consideration of </w:t>
      </w:r>
      <w:r w:rsidRPr="008A68BF">
        <w:rPr>
          <w:rFonts w:cs="Arial"/>
          <w:color w:val="000000"/>
          <w:szCs w:val="22"/>
        </w:rPr>
        <w:t xml:space="preserve">these </w:t>
      </w:r>
      <w:r w:rsidR="00584A3E" w:rsidRPr="008A68BF">
        <w:rPr>
          <w:rFonts w:cs="Arial"/>
          <w:color w:val="000000"/>
          <w:szCs w:val="22"/>
        </w:rPr>
        <w:t>priorities, revisit the benefits identified</w:t>
      </w:r>
      <w:r w:rsidRPr="008A68BF">
        <w:rPr>
          <w:rFonts w:cs="Arial"/>
          <w:color w:val="000000"/>
          <w:szCs w:val="22"/>
        </w:rPr>
        <w:t xml:space="preserve"> from these perspectives.</w:t>
      </w:r>
    </w:p>
    <w:p w14:paraId="31F3E747" w14:textId="77777777" w:rsidR="00584A3E" w:rsidRPr="008A68BF" w:rsidRDefault="00993F59" w:rsidP="008A68BF">
      <w:pPr>
        <w:numPr>
          <w:ilvl w:val="0"/>
          <w:numId w:val="19"/>
        </w:numPr>
        <w:pBdr>
          <w:top w:val="single" w:sz="4" w:space="1" w:color="auto"/>
          <w:left w:val="single" w:sz="4" w:space="4" w:color="auto"/>
          <w:bottom w:val="single" w:sz="4" w:space="10" w:color="auto"/>
          <w:right w:val="single" w:sz="4" w:space="4" w:color="auto"/>
        </w:pBdr>
        <w:shd w:val="clear" w:color="auto" w:fill="DEEAF6"/>
        <w:spacing w:line="260" w:lineRule="atLeast"/>
        <w:ind w:left="425" w:hanging="425"/>
        <w:jc w:val="both"/>
        <w:rPr>
          <w:rStyle w:val="Hyperlink"/>
          <w:rFonts w:ascii="Calibri" w:hAnsi="Calibri"/>
          <w:color w:val="auto"/>
          <w:szCs w:val="22"/>
          <w:u w:val="none"/>
          <w:lang w:val="en-NZ" w:eastAsia="en-US"/>
        </w:rPr>
      </w:pPr>
      <w:hyperlink r:id="rId35" w:history="1">
        <w:r w:rsidR="00584A3E" w:rsidRPr="008A68BF">
          <w:rPr>
            <w:rStyle w:val="Hyperlink"/>
            <w:szCs w:val="22"/>
          </w:rPr>
          <w:t>www.treasury.govt.nz/information-and-services/nz-economy/living-standards/our-living-standards-framework/measuring-wellbeing-lsf-dashboard</w:t>
        </w:r>
      </w:hyperlink>
    </w:p>
    <w:p w14:paraId="74FC573F" w14:textId="77777777" w:rsidR="00584A3E" w:rsidRPr="008A68BF" w:rsidRDefault="00993F59" w:rsidP="008A68BF">
      <w:pPr>
        <w:numPr>
          <w:ilvl w:val="0"/>
          <w:numId w:val="19"/>
        </w:numPr>
        <w:pBdr>
          <w:top w:val="single" w:sz="4" w:space="1" w:color="auto"/>
          <w:left w:val="single" w:sz="4" w:space="4" w:color="auto"/>
          <w:bottom w:val="single" w:sz="4" w:space="10" w:color="auto"/>
          <w:right w:val="single" w:sz="4" w:space="4" w:color="auto"/>
        </w:pBdr>
        <w:shd w:val="clear" w:color="auto" w:fill="DEEAF6"/>
        <w:spacing w:line="260" w:lineRule="atLeast"/>
        <w:ind w:left="425" w:hanging="425"/>
        <w:jc w:val="both"/>
        <w:rPr>
          <w:rStyle w:val="Hyperlink"/>
          <w:rFonts w:ascii="Calibri" w:hAnsi="Calibri"/>
          <w:color w:val="auto"/>
          <w:szCs w:val="22"/>
          <w:u w:val="none"/>
          <w:lang w:val="en-NZ" w:eastAsia="en-US"/>
        </w:rPr>
      </w:pPr>
      <w:hyperlink r:id="rId36" w:history="1">
        <w:r w:rsidR="00584A3E" w:rsidRPr="008A68BF">
          <w:rPr>
            <w:rStyle w:val="Hyperlink"/>
            <w:rFonts w:cs="Arial"/>
            <w:szCs w:val="22"/>
          </w:rPr>
          <w:t>https://treasury.govt.nz/</w:t>
        </w:r>
        <w:r w:rsidR="00584A3E" w:rsidRPr="008A68BF">
          <w:rPr>
            <w:rStyle w:val="Hyperlink"/>
            <w:szCs w:val="22"/>
          </w:rPr>
          <w:t>publications</w:t>
        </w:r>
        <w:r w:rsidR="00584A3E" w:rsidRPr="008A68BF">
          <w:rPr>
            <w:rStyle w:val="Hyperlink"/>
            <w:rFonts w:cs="Arial"/>
            <w:szCs w:val="22"/>
          </w:rPr>
          <w:t>/template/wellbeing-domains-template</w:t>
        </w:r>
      </w:hyperlink>
    </w:p>
    <w:p w14:paraId="0FABFE88" w14:textId="77777777" w:rsidR="00CA4AEF" w:rsidRPr="008A68BF" w:rsidRDefault="00993F59" w:rsidP="008A68BF">
      <w:pPr>
        <w:numPr>
          <w:ilvl w:val="0"/>
          <w:numId w:val="19"/>
        </w:numPr>
        <w:pBdr>
          <w:top w:val="single" w:sz="4" w:space="1" w:color="auto"/>
          <w:left w:val="single" w:sz="4" w:space="4" w:color="auto"/>
          <w:bottom w:val="single" w:sz="4" w:space="10" w:color="auto"/>
          <w:right w:val="single" w:sz="4" w:space="4" w:color="auto"/>
        </w:pBdr>
        <w:shd w:val="clear" w:color="auto" w:fill="DEEAF6"/>
        <w:spacing w:line="260" w:lineRule="atLeast"/>
        <w:ind w:left="425" w:hanging="425"/>
        <w:jc w:val="both"/>
        <w:rPr>
          <w:rStyle w:val="Hyperlink"/>
          <w:rFonts w:ascii="Calibri" w:hAnsi="Calibri"/>
          <w:color w:val="auto"/>
          <w:szCs w:val="22"/>
          <w:u w:val="none"/>
          <w:lang w:val="en-NZ" w:eastAsia="en-US"/>
        </w:rPr>
      </w:pPr>
      <w:hyperlink r:id="rId37" w:history="1">
        <w:r w:rsidR="00CA4AEF" w:rsidRPr="008A68BF">
          <w:rPr>
            <w:rStyle w:val="Hyperlink"/>
            <w:szCs w:val="22"/>
          </w:rPr>
          <w:t>https://www.procurement.govt.nz/broader-outcomes/</w:t>
        </w:r>
      </w:hyperlink>
    </w:p>
    <w:p w14:paraId="54505796" w14:textId="078DC20C" w:rsidR="00584A3E" w:rsidRPr="008A68BF" w:rsidRDefault="00584A3E" w:rsidP="0087038D">
      <w:pPr>
        <w:pBdr>
          <w:top w:val="single" w:sz="4" w:space="1" w:color="auto"/>
          <w:left w:val="single" w:sz="4" w:space="4" w:color="auto"/>
          <w:bottom w:val="single" w:sz="4" w:space="10" w:color="auto"/>
          <w:right w:val="single" w:sz="4" w:space="4" w:color="auto"/>
        </w:pBdr>
        <w:shd w:val="clear" w:color="auto" w:fill="DEEAF6"/>
        <w:spacing w:line="260" w:lineRule="atLeast"/>
        <w:rPr>
          <w:rFonts w:ascii="Calibri" w:hAnsi="Calibri"/>
          <w:i/>
          <w:color w:val="000000"/>
          <w:szCs w:val="22"/>
          <w:lang w:val="en-NZ" w:eastAsia="en-US"/>
        </w:rPr>
      </w:pPr>
      <w:r w:rsidRPr="008A68BF">
        <w:rPr>
          <w:rStyle w:val="Emphasis"/>
          <w:i w:val="0"/>
          <w:color w:val="000000"/>
          <w:sz w:val="22"/>
          <w:szCs w:val="22"/>
        </w:rPr>
        <w:t xml:space="preserve">Benefits should </w:t>
      </w:r>
      <w:r w:rsidR="00C920B0" w:rsidRPr="008A68BF">
        <w:rPr>
          <w:rStyle w:val="Emphasis"/>
          <w:i w:val="0"/>
          <w:color w:val="000000"/>
          <w:sz w:val="22"/>
          <w:szCs w:val="22"/>
        </w:rPr>
        <w:t xml:space="preserve">also </w:t>
      </w:r>
      <w:r w:rsidRPr="008A68BF">
        <w:rPr>
          <w:rStyle w:val="Emphasis"/>
          <w:i w:val="0"/>
          <w:color w:val="000000"/>
          <w:sz w:val="22"/>
          <w:szCs w:val="22"/>
        </w:rPr>
        <w:t>reflect any requirements from any related Regulatory Impact Assessment (RIA) and Climate Implications of Policy Assessment (CIPA).</w:t>
      </w:r>
    </w:p>
    <w:p w14:paraId="293CE777" w14:textId="77777777" w:rsidR="00584A3E" w:rsidRPr="00C3276E" w:rsidRDefault="00584A3E" w:rsidP="00584A3E">
      <w:pPr>
        <w:rPr>
          <w:rStyle w:val="Hyperlink"/>
        </w:rPr>
      </w:pPr>
      <w:r>
        <w:fldChar w:fldCharType="begin"/>
      </w:r>
      <w:r>
        <w:instrText>HYPERLINK  \l "_Strategic_Case_–"</w:instrText>
      </w:r>
      <w:r>
        <w:fldChar w:fldCharType="separate"/>
      </w:r>
      <w:r w:rsidRPr="00C3276E">
        <w:rPr>
          <w:rStyle w:val="Hyperlink"/>
        </w:rPr>
        <w:t>&lt;</w:t>
      </w:r>
      <w:proofErr w:type="gramStart"/>
      <w:r w:rsidRPr="00C3276E">
        <w:rPr>
          <w:rStyle w:val="Hyperlink"/>
        </w:rPr>
        <w:t>back</w:t>
      </w:r>
      <w:proofErr w:type="gramEnd"/>
      <w:r w:rsidRPr="00C3276E">
        <w:rPr>
          <w:rStyle w:val="Hyperlink"/>
        </w:rPr>
        <w:t xml:space="preserve"> to template&gt;</w:t>
      </w:r>
    </w:p>
    <w:p w14:paraId="20888F22" w14:textId="77777777" w:rsidR="00584A3E" w:rsidRDefault="00584A3E" w:rsidP="00584A3E">
      <w:pPr>
        <w:tabs>
          <w:tab w:val="left" w:pos="1134"/>
        </w:tabs>
        <w:spacing w:after="0"/>
      </w:pPr>
      <w:r>
        <w:fldChar w:fldCharType="end"/>
      </w:r>
    </w:p>
    <w:p w14:paraId="31E7C918" w14:textId="77777777" w:rsidR="00254BC8" w:rsidRPr="00CC1378" w:rsidRDefault="00254BC8" w:rsidP="006E4FDB">
      <w:pPr>
        <w:pStyle w:val="Heading1"/>
      </w:pPr>
      <w:bookmarkStart w:id="183" w:name="_Commercial_Case_–_1"/>
      <w:bookmarkStart w:id="184" w:name="_Toc381131321"/>
      <w:bookmarkStart w:id="185" w:name="_Toc430704071"/>
      <w:bookmarkStart w:id="186" w:name="_Toc431213560"/>
      <w:bookmarkStart w:id="187" w:name="_Toc50549011"/>
      <w:bookmarkEnd w:id="183"/>
      <w:r w:rsidRPr="00CC1378">
        <w:t xml:space="preserve">Commercial Case – Contracting for the </w:t>
      </w:r>
      <w:bookmarkEnd w:id="184"/>
      <w:bookmarkEnd w:id="185"/>
      <w:bookmarkEnd w:id="186"/>
      <w:r>
        <w:t>project</w:t>
      </w:r>
      <w:bookmarkEnd w:id="187"/>
    </w:p>
    <w:p w14:paraId="241A6AF9" w14:textId="77777777" w:rsidR="005F68E9" w:rsidRPr="00D17BFC" w:rsidRDefault="005F68E9" w:rsidP="006E4FDB">
      <w:pPr>
        <w:pStyle w:val="Heading2"/>
      </w:pPr>
      <w:bookmarkStart w:id="188" w:name="_Toc430704072"/>
      <w:bookmarkStart w:id="189" w:name="_Toc431213561"/>
      <w:r>
        <w:t>Step 8</w:t>
      </w:r>
      <w:r w:rsidRPr="00D17BFC">
        <w:t xml:space="preserve">: </w:t>
      </w:r>
      <w:r>
        <w:t>Procuring the best value solution</w:t>
      </w:r>
    </w:p>
    <w:p w14:paraId="2486905A" w14:textId="6E7241FB" w:rsidR="005F68E9" w:rsidRPr="008A68BF" w:rsidRDefault="005F68E9" w:rsidP="008A68BF">
      <w:pPr>
        <w:pBdr>
          <w:top w:val="single" w:sz="4" w:space="4" w:color="F2F2F2"/>
          <w:left w:val="single" w:sz="4" w:space="4" w:color="F2F2F2"/>
          <w:bottom w:val="single" w:sz="4" w:space="8" w:color="F2F2F2"/>
          <w:right w:val="single" w:sz="4" w:space="4" w:color="F2F2F2"/>
        </w:pBdr>
        <w:shd w:val="clear" w:color="auto" w:fill="DEEAF6"/>
        <w:spacing w:line="260" w:lineRule="atLeast"/>
        <w:rPr>
          <w:i/>
          <w:color w:val="2F5496"/>
        </w:rPr>
      </w:pPr>
      <w:r w:rsidRPr="008A68BF">
        <w:rPr>
          <w:rStyle w:val="Emphasis"/>
          <w:i w:val="0"/>
        </w:rPr>
        <w:t>Action 27</w:t>
      </w:r>
      <w:r w:rsidR="00211397">
        <w:rPr>
          <w:rStyle w:val="Emphasis"/>
          <w:i w:val="0"/>
        </w:rPr>
        <w:t xml:space="preserve">: </w:t>
      </w:r>
      <w:r w:rsidRPr="008A68BF">
        <w:rPr>
          <w:rStyle w:val="Emphasis"/>
          <w:i w:val="0"/>
        </w:rPr>
        <w:t>Detail procurement process and evaluation of Best and Final offers.</w:t>
      </w:r>
    </w:p>
    <w:p w14:paraId="595C8185" w14:textId="77777777" w:rsidR="005F68E9" w:rsidRPr="00D17BFC" w:rsidRDefault="005F68E9" w:rsidP="006E4FDB">
      <w:pPr>
        <w:pStyle w:val="Heading2"/>
      </w:pPr>
      <w:r>
        <w:t>Step 9</w:t>
      </w:r>
      <w:r w:rsidRPr="00D17BFC">
        <w:t xml:space="preserve">: </w:t>
      </w:r>
      <w:r>
        <w:t>Contracting for the deal</w:t>
      </w:r>
    </w:p>
    <w:p w14:paraId="4CE1A754" w14:textId="690FA7EE" w:rsidR="005F68E9" w:rsidRPr="008A68BF" w:rsidRDefault="005F68E9" w:rsidP="008A68BF">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i w:val="0"/>
        </w:rPr>
      </w:pPr>
      <w:r w:rsidRPr="008A68BF">
        <w:rPr>
          <w:rStyle w:val="Emphasis"/>
          <w:i w:val="0"/>
        </w:rPr>
        <w:t>Action 28</w:t>
      </w:r>
      <w:r w:rsidR="00211397">
        <w:rPr>
          <w:rStyle w:val="Emphasis"/>
          <w:i w:val="0"/>
        </w:rPr>
        <w:t xml:space="preserve">: </w:t>
      </w:r>
      <w:r w:rsidRPr="008A68BF">
        <w:rPr>
          <w:rStyle w:val="Emphasis"/>
          <w:i w:val="0"/>
        </w:rPr>
        <w:t>The negotiated deal and contract arrangements.</w:t>
      </w:r>
    </w:p>
    <w:p w14:paraId="0515F938" w14:textId="77777777" w:rsidR="00A07055" w:rsidRDefault="00A07055" w:rsidP="0087038D">
      <w:pPr>
        <w:pBdr>
          <w:top w:val="single" w:sz="4" w:space="4" w:color="F2F2F2"/>
          <w:left w:val="single" w:sz="4" w:space="4" w:color="F2F2F2"/>
          <w:bottom w:val="single" w:sz="4" w:space="8" w:color="F2F2F2"/>
          <w:right w:val="single" w:sz="4" w:space="4" w:color="F2F2F2"/>
        </w:pBdr>
        <w:spacing w:after="0" w:line="260" w:lineRule="atLeast"/>
        <w:rPr>
          <w:rStyle w:val="Emphasis"/>
        </w:rPr>
      </w:pPr>
    </w:p>
    <w:p w14:paraId="68EDA8EA" w14:textId="587E6C84" w:rsidR="00A07055" w:rsidRDefault="00A07055" w:rsidP="0087038D">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This section outlines the significant procurements (one or multiple selected preferred suppliers) and potential contracts (initial negotiations with preferred suppliers). </w:t>
      </w:r>
    </w:p>
    <w:p w14:paraId="00761791" w14:textId="77777777" w:rsidR="00A07055" w:rsidRDefault="00A07055" w:rsidP="0087038D">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 xml:space="preserve">Provide a </w:t>
      </w:r>
      <w:r w:rsidRPr="00CF1420">
        <w:rPr>
          <w:rStyle w:val="Emphasis"/>
        </w:rPr>
        <w:t xml:space="preserve">brief summary </w:t>
      </w:r>
      <w:r>
        <w:rPr>
          <w:rStyle w:val="Emphasis"/>
        </w:rPr>
        <w:t>of the</w:t>
      </w:r>
      <w:r w:rsidRPr="00CF1420">
        <w:rPr>
          <w:rStyle w:val="Emphasis"/>
        </w:rPr>
        <w:t xml:space="preserve"> Procurement Plan and Evaluation </w:t>
      </w:r>
      <w:r>
        <w:rPr>
          <w:rStyle w:val="Emphasis"/>
        </w:rPr>
        <w:t xml:space="preserve">Panel Report/Minutes. These documents must be attached as </w:t>
      </w:r>
      <w:r w:rsidRPr="009C584B">
        <w:rPr>
          <w:rStyle w:val="Emphasis"/>
        </w:rPr>
        <w:t>Annexe</w:t>
      </w:r>
      <w:r>
        <w:rPr>
          <w:rStyle w:val="Emphasis"/>
        </w:rPr>
        <w:t xml:space="preserve">s. </w:t>
      </w:r>
    </w:p>
    <w:p w14:paraId="4D72C122" w14:textId="77777777" w:rsidR="00A07055" w:rsidRPr="00211397" w:rsidRDefault="00A07055" w:rsidP="0087038D">
      <w:pPr>
        <w:pBdr>
          <w:top w:val="single" w:sz="4" w:space="4" w:color="F2F2F2"/>
          <w:left w:val="single" w:sz="4" w:space="4" w:color="F2F2F2"/>
          <w:bottom w:val="single" w:sz="4" w:space="8" w:color="F2F2F2"/>
          <w:right w:val="single" w:sz="4" w:space="4" w:color="F2F2F2"/>
        </w:pBdr>
        <w:shd w:val="clear" w:color="auto" w:fill="DEEAF6"/>
        <w:spacing w:line="260" w:lineRule="atLeast"/>
        <w:rPr>
          <w:color w:val="1F4E79"/>
          <w:sz w:val="20"/>
        </w:rPr>
      </w:pPr>
      <w:r w:rsidRPr="0062420D">
        <w:rPr>
          <w:i/>
          <w:color w:val="1F4E79"/>
        </w:rPr>
        <w:t xml:space="preserve">Government departments must, and state sector agencies are expected to, apply the </w:t>
      </w:r>
      <w:r w:rsidRPr="00211397">
        <w:rPr>
          <w:i/>
          <w:color w:val="1F4E79"/>
          <w:sz w:val="20"/>
        </w:rPr>
        <w:t xml:space="preserve">Government Procurement Rules 2019: </w:t>
      </w:r>
      <w:hyperlink r:id="rId38" w:history="1">
        <w:r w:rsidRPr="00211397">
          <w:rPr>
            <w:rStyle w:val="Hyperlink"/>
            <w:sz w:val="20"/>
          </w:rPr>
          <w:t>https://www.procurement.govt.nz/procurement/principles-and-rules/government-procurement-rules</w:t>
        </w:r>
      </w:hyperlink>
      <w:r w:rsidRPr="00211397">
        <w:rPr>
          <w:color w:val="1F4E79"/>
          <w:sz w:val="20"/>
        </w:rPr>
        <w:t xml:space="preserve"> </w:t>
      </w:r>
    </w:p>
    <w:p w14:paraId="46681CAE" w14:textId="2B3A7B44" w:rsidR="00A07055" w:rsidRPr="00211397" w:rsidRDefault="00A07055" w:rsidP="0087038D">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211397">
        <w:rPr>
          <w:i/>
          <w:color w:val="1F4E79"/>
          <w:sz w:val="20"/>
        </w:rPr>
        <w:t xml:space="preserve">MBIE also publish guides to procurement: </w:t>
      </w:r>
      <w:hyperlink r:id="rId39" w:history="1">
        <w:r w:rsidRPr="00211397">
          <w:rPr>
            <w:rStyle w:val="Hyperlink"/>
            <w:i/>
            <w:sz w:val="20"/>
          </w:rPr>
          <w:t>https://www.procurement.govt.nz/</w:t>
        </w:r>
      </w:hyperlink>
      <w:r w:rsidRPr="00211397">
        <w:rPr>
          <w:i/>
          <w:color w:val="1F4E79"/>
          <w:sz w:val="20"/>
        </w:rPr>
        <w:t xml:space="preserve"> :  </w:t>
      </w:r>
      <w:hyperlink r:id="rId40" w:history="1">
        <w:r w:rsidRPr="00211397">
          <w:rPr>
            <w:rStyle w:val="Hyperlink"/>
            <w:sz w:val="20"/>
          </w:rPr>
          <w:t>https://www.procurement.govt.nz/procurement/guide-to-procurement/</w:t>
        </w:r>
      </w:hyperlink>
      <w:r w:rsidRPr="00211397">
        <w:rPr>
          <w:sz w:val="20"/>
        </w:rPr>
        <w:t xml:space="preserve"> </w:t>
      </w:r>
      <w:proofErr w:type="gramStart"/>
      <w:r w:rsidR="00464600" w:rsidRPr="00211397">
        <w:rPr>
          <w:rStyle w:val="Emphasis"/>
        </w:rPr>
        <w:t>For</w:t>
      </w:r>
      <w:proofErr w:type="gramEnd"/>
      <w:r w:rsidR="00464600" w:rsidRPr="00211397">
        <w:rPr>
          <w:rStyle w:val="Emphasis"/>
        </w:rPr>
        <w:t xml:space="preserve"> guidance contact </w:t>
      </w:r>
      <w:hyperlink r:id="rId41" w:history="1">
        <w:r w:rsidR="00464600" w:rsidRPr="00211397">
          <w:rPr>
            <w:rStyle w:val="Hyperlink"/>
            <w:sz w:val="20"/>
          </w:rPr>
          <w:t>procurementplanning@mbie.govt.nz</w:t>
        </w:r>
      </w:hyperlink>
    </w:p>
    <w:p w14:paraId="232110A9" w14:textId="77777777" w:rsidR="00A07055" w:rsidRPr="00211397" w:rsidRDefault="00A07055" w:rsidP="0087038D">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i w:val="0"/>
        </w:rPr>
      </w:pPr>
      <w:r w:rsidRPr="00211397">
        <w:rPr>
          <w:rStyle w:val="Emphasis"/>
        </w:rPr>
        <w:t xml:space="preserve">Agencies considering the procurement of infrastructure with a total cost of ownership of more than $50 million </w:t>
      </w:r>
      <w:r w:rsidRPr="00211397">
        <w:rPr>
          <w:rStyle w:val="Emphasis"/>
          <w:u w:val="single"/>
        </w:rPr>
        <w:t xml:space="preserve">must </w:t>
      </w:r>
      <w:r w:rsidRPr="00211397">
        <w:rPr>
          <w:rStyle w:val="Emphasis"/>
        </w:rPr>
        <w:t>consult with the New Zealand Infrastructure Commission Te Waihanga early in the development of the business case and follow all advice and guidance. Contact</w:t>
      </w:r>
      <w:r w:rsidRPr="00211397">
        <w:rPr>
          <w:rStyle w:val="CommentReference"/>
          <w:sz w:val="20"/>
          <w:szCs w:val="20"/>
        </w:rPr>
        <w:t xml:space="preserve"> </w:t>
      </w:r>
      <w:hyperlink r:id="rId42" w:history="1">
        <w:r w:rsidRPr="00211397">
          <w:rPr>
            <w:rStyle w:val="Hyperlink"/>
            <w:sz w:val="20"/>
          </w:rPr>
          <w:t>info@infracom.govt.nz</w:t>
        </w:r>
      </w:hyperlink>
    </w:p>
    <w:p w14:paraId="4688E7E1" w14:textId="0EE30793" w:rsidR="00A07055" w:rsidRPr="00211397" w:rsidRDefault="00A07055" w:rsidP="0087038D">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sidRPr="00211397">
        <w:rPr>
          <w:rStyle w:val="Emphasis"/>
        </w:rPr>
        <w:t xml:space="preserve">Agencies considering procurement of ICT solutions </w:t>
      </w:r>
      <w:r w:rsidRPr="00211397">
        <w:rPr>
          <w:rStyle w:val="Emphasis"/>
          <w:u w:val="single"/>
        </w:rPr>
        <w:t xml:space="preserve">must </w:t>
      </w:r>
      <w:r w:rsidRPr="00211397">
        <w:rPr>
          <w:rStyle w:val="Emphasis"/>
        </w:rPr>
        <w:t>consult with the Digital Public Service Branch early in the development of the business case and follow all advice and guidance. Contact</w:t>
      </w:r>
      <w:r w:rsidRPr="00211397">
        <w:rPr>
          <w:rStyle w:val="CommentReference"/>
          <w:sz w:val="20"/>
          <w:szCs w:val="20"/>
        </w:rPr>
        <w:t xml:space="preserve"> </w:t>
      </w:r>
      <w:hyperlink r:id="rId43" w:history="1">
        <w:r w:rsidRPr="00211397">
          <w:rPr>
            <w:rStyle w:val="Hyperlink"/>
            <w:sz w:val="20"/>
          </w:rPr>
          <w:t>GCDO@dia.govt.nz</w:t>
        </w:r>
      </w:hyperlink>
      <w:r w:rsidRPr="00211397">
        <w:rPr>
          <w:rStyle w:val="Emphasis"/>
          <w:i w:val="0"/>
        </w:rPr>
        <w:t xml:space="preserve"> </w:t>
      </w:r>
    </w:p>
    <w:p w14:paraId="0D347D54" w14:textId="77777777" w:rsidR="00A07055" w:rsidRDefault="00A07055" w:rsidP="0087038D">
      <w:pPr>
        <w:pBdr>
          <w:top w:val="single" w:sz="4" w:space="4" w:color="F2F2F2"/>
          <w:left w:val="single" w:sz="4" w:space="4" w:color="F2F2F2"/>
          <w:bottom w:val="single" w:sz="4" w:space="8" w:color="F2F2F2"/>
          <w:right w:val="single" w:sz="4" w:space="4" w:color="F2F2F2"/>
        </w:pBdr>
        <w:shd w:val="clear" w:color="auto" w:fill="DEEAF6"/>
        <w:spacing w:line="260" w:lineRule="atLeast"/>
        <w:rPr>
          <w:rStyle w:val="Emphasis"/>
        </w:rPr>
      </w:pPr>
      <w:r>
        <w:rPr>
          <w:rStyle w:val="Emphasis"/>
        </w:rPr>
        <w:t>If there are multiple significant procurements, repeat the contents and tables for each section below for each separate procurement/contract.</w:t>
      </w:r>
      <w:r w:rsidRPr="00816D0D">
        <w:rPr>
          <w:rStyle w:val="Emphasis"/>
        </w:rPr>
        <w:t xml:space="preserve"> </w:t>
      </w:r>
      <w:r>
        <w:rPr>
          <w:rStyle w:val="Emphasis"/>
        </w:rPr>
        <w:t xml:space="preserve"> If there are</w:t>
      </w:r>
      <w:r w:rsidRPr="00963E42">
        <w:rPr>
          <w:rStyle w:val="Emphasis"/>
        </w:rPr>
        <w:t xml:space="preserve"> no significant </w:t>
      </w:r>
      <w:r>
        <w:rPr>
          <w:rStyle w:val="Emphasis"/>
        </w:rPr>
        <w:t>contracts, minimise the</w:t>
      </w:r>
      <w:r w:rsidRPr="00963E42">
        <w:rPr>
          <w:rStyle w:val="Emphasis"/>
        </w:rPr>
        <w:t xml:space="preserve"> Commercial Case.</w:t>
      </w:r>
      <w:r>
        <w:rPr>
          <w:rStyle w:val="Emphasis"/>
        </w:rPr>
        <w:t xml:space="preserve"> </w:t>
      </w:r>
    </w:p>
    <w:p w14:paraId="07DD1D75" w14:textId="451834E6" w:rsidR="00254BC8" w:rsidRDefault="00254BC8" w:rsidP="006E4FDB">
      <w:pPr>
        <w:pStyle w:val="Heading2"/>
      </w:pPr>
      <w:r w:rsidRPr="00CC1378">
        <w:t xml:space="preserve">Action 27: </w:t>
      </w:r>
      <w:bookmarkEnd w:id="188"/>
      <w:bookmarkEnd w:id="189"/>
      <w:r>
        <w:t>Selection of Preferred Suppliers</w:t>
      </w:r>
    </w:p>
    <w:p w14:paraId="48BFC01C" w14:textId="77777777" w:rsidR="00254BC8" w:rsidRDefault="00254BC8" w:rsidP="006E4FDB">
      <w:pPr>
        <w:pStyle w:val="Heading3"/>
      </w:pPr>
      <w:r>
        <w:t>Purpose</w:t>
      </w:r>
    </w:p>
    <w:p w14:paraId="7F39CB42" w14:textId="77777777" w:rsidR="00254BC8" w:rsidRDefault="00254BC8" w:rsidP="0087038D">
      <w:pPr>
        <w:spacing w:line="260" w:lineRule="atLeast"/>
      </w:pPr>
      <w:r>
        <w:t xml:space="preserve">The purpose of this action is to </w:t>
      </w:r>
      <w:r w:rsidR="00A44549">
        <w:t xml:space="preserve">document the process that was used to </w:t>
      </w:r>
      <w:r>
        <w:t>evaluate supplier offers to select a preferred supplier.</w:t>
      </w:r>
    </w:p>
    <w:p w14:paraId="6737A20E" w14:textId="77777777" w:rsidR="00254BC8" w:rsidRPr="00537079" w:rsidRDefault="00254BC8" w:rsidP="006E4FDB">
      <w:pPr>
        <w:pStyle w:val="Heading3"/>
      </w:pPr>
      <w:r>
        <w:t>What’s expected</w:t>
      </w:r>
    </w:p>
    <w:p w14:paraId="176F6DC2" w14:textId="77777777" w:rsidR="00941AEC" w:rsidRDefault="00254BC8" w:rsidP="0087038D">
      <w:pPr>
        <w:spacing w:line="260" w:lineRule="atLeast"/>
      </w:pPr>
      <w:r w:rsidRPr="005938A1">
        <w:t xml:space="preserve">Supplier selection </w:t>
      </w:r>
      <w:r w:rsidR="006B5623">
        <w:t>must</w:t>
      </w:r>
      <w:r w:rsidRPr="005938A1">
        <w:t xml:space="preserve"> be based on the process and methodology set out in the previous business case, the </w:t>
      </w:r>
      <w:r w:rsidR="00A44549">
        <w:t>Procurement Strategy and</w:t>
      </w:r>
      <w:r>
        <w:t xml:space="preserve"> the </w:t>
      </w:r>
      <w:r w:rsidRPr="005938A1">
        <w:t>Procurement Plan</w:t>
      </w:r>
      <w:r w:rsidR="006B5623">
        <w:t>,</w:t>
      </w:r>
      <w:r w:rsidRPr="005938A1">
        <w:t xml:space="preserve"> and in the information provided to </w:t>
      </w:r>
      <w:r w:rsidR="00A44549">
        <w:t xml:space="preserve">and by </w:t>
      </w:r>
      <w:r w:rsidRPr="005938A1">
        <w:t>suppliers.</w:t>
      </w:r>
      <w:r w:rsidR="00941AEC">
        <w:t xml:space="preserve">  </w:t>
      </w:r>
    </w:p>
    <w:p w14:paraId="232E6DA2" w14:textId="77777777" w:rsidR="00254BC8" w:rsidRDefault="00254BC8" w:rsidP="006E4FDB">
      <w:pPr>
        <w:pStyle w:val="Heading3"/>
      </w:pPr>
      <w:r>
        <w:t>Suggested evidence</w:t>
      </w:r>
    </w:p>
    <w:p w14:paraId="51EBE530" w14:textId="77777777" w:rsidR="00941AEC" w:rsidRDefault="00941AEC" w:rsidP="00941AEC">
      <w:pPr>
        <w:spacing w:line="260" w:lineRule="atLeast"/>
      </w:pPr>
      <w:r>
        <w:t xml:space="preserve">There must be a statement of compliance with MBIE’s Procurement rules, or an attestation that MBIE (or </w:t>
      </w:r>
      <w:proofErr w:type="spellStart"/>
      <w:r>
        <w:t>Infracom</w:t>
      </w:r>
      <w:proofErr w:type="spellEnd"/>
      <w:r>
        <w:t xml:space="preserve">) have approved variation from these rules. </w:t>
      </w:r>
    </w:p>
    <w:p w14:paraId="1DE3BC20" w14:textId="3B0D0E48" w:rsidR="00941AEC" w:rsidRDefault="006B5623" w:rsidP="00941AEC">
      <w:pPr>
        <w:spacing w:line="260" w:lineRule="atLeast"/>
      </w:pPr>
      <w:r>
        <w:t xml:space="preserve">It is important to remember that the agency must do what it said it will do in the </w:t>
      </w:r>
      <w:proofErr w:type="spellStart"/>
      <w:r>
        <w:t>RFx</w:t>
      </w:r>
      <w:proofErr w:type="spellEnd"/>
      <w:r>
        <w:t xml:space="preserve"> (follow the process).</w:t>
      </w:r>
    </w:p>
    <w:p w14:paraId="1A89E57C" w14:textId="285D9156" w:rsidR="00941AEC" w:rsidRPr="005938A1" w:rsidRDefault="00941AEC" w:rsidP="00941AEC">
      <w:pPr>
        <w:spacing w:line="260" w:lineRule="atLeast"/>
      </w:pPr>
      <w:r>
        <w:t xml:space="preserve">The evaluation criteria (including weightings) must be documented and the supplier proposals evaluated against these.  </w:t>
      </w:r>
    </w:p>
    <w:p w14:paraId="35B16AB4" w14:textId="23BFC111" w:rsidR="00941AEC" w:rsidRDefault="006B5623" w:rsidP="0087038D">
      <w:pPr>
        <w:spacing w:line="260" w:lineRule="atLeast"/>
      </w:pPr>
      <w:r>
        <w:t xml:space="preserve">Show in the summary table the results of the supplier offer evaluation.  </w:t>
      </w:r>
      <w:r w:rsidR="00254BC8">
        <w:t xml:space="preserve">A clear </w:t>
      </w:r>
      <w:r w:rsidR="00941AEC">
        <w:t xml:space="preserve">and documented </w:t>
      </w:r>
      <w:r w:rsidR="00254BC8">
        <w:t xml:space="preserve">evaluation methodology must be used by the evaluation panel members.  </w:t>
      </w:r>
      <w:r w:rsidR="00941AEC">
        <w:t xml:space="preserve">The evaluation panel should include a range of </w:t>
      </w:r>
      <w:r w:rsidR="006A024A">
        <w:t xml:space="preserve">business, </w:t>
      </w:r>
      <w:r w:rsidR="00941AEC">
        <w:t xml:space="preserve">technical, </w:t>
      </w:r>
      <w:r w:rsidR="006A024A">
        <w:t xml:space="preserve">commercial, </w:t>
      </w:r>
      <w:r w:rsidR="00941AEC">
        <w:t xml:space="preserve">legal and user perspectives.  The procurement process, including evaluation of each supplier offer, recommendations and decisions must be documented in an Evaluation Report.  </w:t>
      </w:r>
    </w:p>
    <w:p w14:paraId="4730A875" w14:textId="0A29470E" w:rsidR="00254BC8" w:rsidRDefault="00254BC8" w:rsidP="0087038D">
      <w:pPr>
        <w:spacing w:line="260" w:lineRule="atLeast"/>
      </w:pPr>
      <w:r>
        <w:t xml:space="preserve">Due diligence should be undertaken on </w:t>
      </w:r>
      <w:r w:rsidR="006B5623">
        <w:t xml:space="preserve">at least the </w:t>
      </w:r>
      <w:r>
        <w:t>preferred supplier (or suppliers)</w:t>
      </w:r>
      <w:r w:rsidR="006B5623">
        <w:t>; if there is more than one supplier wh</w:t>
      </w:r>
      <w:r w:rsidR="006A024A">
        <w:t>ich</w:t>
      </w:r>
      <w:r w:rsidR="006B5623">
        <w:t xml:space="preserve"> is a close match, due diligence should be carried out on all the leading candidates.</w:t>
      </w:r>
      <w:r w:rsidR="00941AEC">
        <w:t xml:space="preserve">  Results of the due diligence process must be recorded and available to reviewers.</w:t>
      </w:r>
    </w:p>
    <w:p w14:paraId="20F9E2FF" w14:textId="3610A726" w:rsidR="00254BC8" w:rsidRDefault="006B5623" w:rsidP="0087038D">
      <w:pPr>
        <w:spacing w:line="260" w:lineRule="atLeast"/>
      </w:pPr>
      <w:bookmarkStart w:id="190" w:name="_Toc381131322"/>
      <w:bookmarkStart w:id="191" w:name="_Toc430704073"/>
      <w:r>
        <w:t>Only a brief summary of the p</w:t>
      </w:r>
      <w:r w:rsidR="00254BC8">
        <w:t>rocurement plan</w:t>
      </w:r>
      <w:r>
        <w:t>, due diligence report</w:t>
      </w:r>
      <w:r w:rsidR="00254BC8">
        <w:t xml:space="preserve"> and evaluation </w:t>
      </w:r>
      <w:r w:rsidR="008B52AA">
        <w:t>criteria</w:t>
      </w:r>
      <w:r>
        <w:t xml:space="preserve"> and </w:t>
      </w:r>
      <w:r w:rsidR="00254BC8">
        <w:t xml:space="preserve">recommendation report should be </w:t>
      </w:r>
      <w:r>
        <w:t xml:space="preserve">included here.  List the supporting documents in </w:t>
      </w:r>
      <w:hyperlink w:anchor="_Annex_2:_" w:history="1">
        <w:r w:rsidRPr="006B5623">
          <w:rPr>
            <w:rStyle w:val="Hyperlink"/>
          </w:rPr>
          <w:t>Annex 2</w:t>
        </w:r>
      </w:hyperlink>
      <w:r>
        <w:t xml:space="preserve"> and note they must be available to reviewers on request</w:t>
      </w:r>
      <w:r w:rsidR="00254BC8">
        <w:t>.</w:t>
      </w:r>
    </w:p>
    <w:p w14:paraId="2D86156C" w14:textId="77777777" w:rsidR="00254BC8" w:rsidRPr="00CC1378" w:rsidRDefault="00254BC8" w:rsidP="006E4FDB">
      <w:pPr>
        <w:pStyle w:val="Heading2"/>
      </w:pPr>
      <w:bookmarkStart w:id="192" w:name="_Toc431213562"/>
      <w:r w:rsidRPr="00CC1378">
        <w:t>Action 28: The Negotiate</w:t>
      </w:r>
      <w:r>
        <w:t>d Contract</w:t>
      </w:r>
      <w:r w:rsidRPr="00CC1378">
        <w:t xml:space="preserve"> Arrangements</w:t>
      </w:r>
      <w:bookmarkEnd w:id="190"/>
      <w:bookmarkEnd w:id="191"/>
      <w:bookmarkEnd w:id="192"/>
    </w:p>
    <w:p w14:paraId="0BF0A056" w14:textId="77777777" w:rsidR="00254BC8" w:rsidRDefault="00254BC8" w:rsidP="006E4FDB">
      <w:pPr>
        <w:pStyle w:val="Heading3"/>
      </w:pPr>
      <w:r>
        <w:t>Purpose</w:t>
      </w:r>
    </w:p>
    <w:p w14:paraId="2943BD63" w14:textId="7C49766E" w:rsidR="00254BC8" w:rsidRDefault="00254BC8" w:rsidP="0087038D">
      <w:pPr>
        <w:spacing w:line="260" w:lineRule="atLeast"/>
      </w:pPr>
      <w:r>
        <w:t xml:space="preserve">The purpose of </w:t>
      </w:r>
      <w:r w:rsidR="00BC5ACC">
        <w:t xml:space="preserve">this action </w:t>
      </w:r>
      <w:r w:rsidR="006B5623">
        <w:t>is to outline the</w:t>
      </w:r>
      <w:r w:rsidR="00BC5ACC">
        <w:t xml:space="preserve"> deal</w:t>
      </w:r>
      <w:r w:rsidRPr="00CC1378">
        <w:t xml:space="preserve"> negotiated with the preferred supplie</w:t>
      </w:r>
      <w:r>
        <w:t>r or suppliers.</w:t>
      </w:r>
    </w:p>
    <w:p w14:paraId="26C55702" w14:textId="77777777" w:rsidR="00254BC8" w:rsidRDefault="00254BC8" w:rsidP="006E4FDB">
      <w:pPr>
        <w:pStyle w:val="Heading3"/>
      </w:pPr>
      <w:r>
        <w:t>What’s expected</w:t>
      </w:r>
    </w:p>
    <w:p w14:paraId="7BA7AB9C" w14:textId="71D3CFED" w:rsidR="00254BC8" w:rsidRDefault="00254BC8" w:rsidP="0087038D">
      <w:pPr>
        <w:spacing w:line="260" w:lineRule="atLeast"/>
      </w:pPr>
      <w:r>
        <w:t>O</w:t>
      </w:r>
      <w:r w:rsidRPr="00CC1378">
        <w:t xml:space="preserve">utline </w:t>
      </w:r>
      <w:r>
        <w:t xml:space="preserve">in </w:t>
      </w:r>
      <w:r w:rsidRPr="00CC1378">
        <w:t>enough</w:t>
      </w:r>
      <w:r>
        <w:t xml:space="preserve"> </w:t>
      </w:r>
      <w:r w:rsidRPr="00CC1378">
        <w:t>detail</w:t>
      </w:r>
      <w:r w:rsidR="006B5623">
        <w:t xml:space="preserve"> </w:t>
      </w:r>
      <w:r w:rsidRPr="00CC1378">
        <w:t>the negotiation planning, commercial and contractual arrangements to enable decision-makers to approve the Implementation Business Case and for negotiations to proceed to contract signing and implementation of the project.</w:t>
      </w:r>
      <w:r>
        <w:t xml:space="preserve"> </w:t>
      </w:r>
      <w:r w:rsidR="00A44549">
        <w:t xml:space="preserve"> </w:t>
      </w:r>
    </w:p>
    <w:p w14:paraId="6A6F6F3D" w14:textId="77777777" w:rsidR="00254BC8" w:rsidRPr="008A68BF" w:rsidRDefault="00254BC8" w:rsidP="008A68B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sz w:val="20"/>
          <w:lang w:val="en-NZ"/>
        </w:rPr>
      </w:pPr>
      <w:r w:rsidRPr="008A68BF">
        <w:rPr>
          <w:sz w:val="20"/>
          <w:lang w:val="en-NZ"/>
        </w:rPr>
        <w:t>Projects where a Public Private Partnership is the Preferred Option</w:t>
      </w:r>
    </w:p>
    <w:p w14:paraId="500B62D5" w14:textId="77777777" w:rsidR="00254BC8" w:rsidRPr="008A68B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rStyle w:val="Emphasis"/>
          <w:rFonts w:cs="Arial"/>
          <w:i w:val="0"/>
          <w:iCs w:val="0"/>
          <w:color w:val="000000"/>
          <w:lang w:val="en-NZ"/>
        </w:rPr>
      </w:pPr>
      <w:r w:rsidRPr="008A68BF">
        <w:rPr>
          <w:rStyle w:val="Emphasis"/>
          <w:rFonts w:cs="Arial"/>
          <w:i w:val="0"/>
          <w:color w:val="000000"/>
          <w:shd w:val="clear" w:color="auto" w:fill="C5E0B3"/>
        </w:rPr>
        <w:t>The Standard Form PPP Project Agreement must be used by all procuring entities undertaking PPP procurement; it is only to be adapted in consultation with the New Zealand Infrastructure Commission</w:t>
      </w:r>
      <w:r w:rsidR="00BC5ACC" w:rsidRPr="008A68BF">
        <w:rPr>
          <w:rStyle w:val="Emphasis"/>
          <w:rFonts w:cs="Arial"/>
          <w:i w:val="0"/>
          <w:color w:val="000000"/>
          <w:shd w:val="clear" w:color="auto" w:fill="C5E0B3"/>
        </w:rPr>
        <w:t xml:space="preserve"> Te Waihanga</w:t>
      </w:r>
      <w:r w:rsidRPr="008A68BF">
        <w:rPr>
          <w:rStyle w:val="Emphasis"/>
          <w:rFonts w:cs="Arial"/>
          <w:i w:val="0"/>
          <w:color w:val="000000"/>
          <w:shd w:val="clear" w:color="auto" w:fill="C5E0B3"/>
        </w:rPr>
        <w:t xml:space="preserve"> to the extent required to accommodate any unique characteristics of a specific project: </w:t>
      </w:r>
      <w:hyperlink r:id="rId44" w:history="1">
        <w:r w:rsidRPr="008A68BF">
          <w:rPr>
            <w:rStyle w:val="Hyperlink"/>
            <w:rFonts w:cs="Arial"/>
            <w:sz w:val="20"/>
            <w:shd w:val="clear" w:color="auto" w:fill="C5E0B3"/>
          </w:rPr>
          <w:t>https://infracom.govt.nz/major-projects/public-private-partnerships/</w:t>
        </w:r>
      </w:hyperlink>
      <w:r w:rsidRPr="008A68BF">
        <w:rPr>
          <w:rStyle w:val="Emphasis"/>
          <w:rFonts w:cs="Arial"/>
          <w:i w:val="0"/>
          <w:color w:val="000000"/>
        </w:rPr>
        <w:t xml:space="preserve"> </w:t>
      </w:r>
    </w:p>
    <w:p w14:paraId="5FDB5FE4" w14:textId="77777777" w:rsidR="00254BC8" w:rsidRPr="005938A1" w:rsidRDefault="00254BC8" w:rsidP="006E4FDB">
      <w:pPr>
        <w:pStyle w:val="Heading3"/>
      </w:pPr>
      <w:r>
        <w:t>Suggested evidence</w:t>
      </w:r>
    </w:p>
    <w:p w14:paraId="14D34E9B" w14:textId="05B5C458" w:rsidR="00941AEC" w:rsidRPr="00941AEC" w:rsidRDefault="00941AEC" w:rsidP="00941AEC">
      <w:pPr>
        <w:spacing w:line="260" w:lineRule="atLeast"/>
      </w:pPr>
      <w:r>
        <w:t>For a PPP: provide a d</w:t>
      </w:r>
      <w:r w:rsidRPr="00941AEC">
        <w:t xml:space="preserve">eclaration that the Standard Form PPP Project Agreement has been used and any variances agreed with </w:t>
      </w:r>
      <w:proofErr w:type="spellStart"/>
      <w:r w:rsidRPr="00941AEC">
        <w:t>Infracom</w:t>
      </w:r>
      <w:proofErr w:type="spellEnd"/>
    </w:p>
    <w:p w14:paraId="7DFA97D9" w14:textId="68733129" w:rsidR="00254BC8" w:rsidRPr="00CC1378" w:rsidRDefault="00BC5ACC" w:rsidP="0087038D">
      <w:pPr>
        <w:spacing w:line="260" w:lineRule="atLeast"/>
      </w:pPr>
      <w:r>
        <w:t>Provide</w:t>
      </w:r>
      <w:r w:rsidR="006B5623">
        <w:t xml:space="preserve"> a </w:t>
      </w:r>
      <w:r w:rsidR="006B5623" w:rsidRPr="00941AEC">
        <w:rPr>
          <w:i/>
          <w:iCs/>
        </w:rPr>
        <w:t>summary</w:t>
      </w:r>
      <w:r w:rsidR="006B5623">
        <w:t xml:space="preserve"> of</w:t>
      </w:r>
      <w:r>
        <w:t xml:space="preserve"> </w:t>
      </w:r>
      <w:r w:rsidR="00254BC8" w:rsidRPr="00CC1378">
        <w:t xml:space="preserve">the deal </w:t>
      </w:r>
      <w:r w:rsidR="00254BC8" w:rsidRPr="00681D01">
        <w:t>that is planned</w:t>
      </w:r>
      <w:r w:rsidR="00254BC8">
        <w:t>.</w:t>
      </w:r>
      <w:r w:rsidR="00254BC8" w:rsidRPr="00681D01">
        <w:t xml:space="preserve"> </w:t>
      </w:r>
      <w:r w:rsidR="00941AEC">
        <w:t xml:space="preserve"> </w:t>
      </w:r>
      <w:r>
        <w:t>T</w:t>
      </w:r>
      <w:r w:rsidR="00254BC8" w:rsidRPr="00681D01">
        <w:t xml:space="preserve">his is the commercial transaction that </w:t>
      </w:r>
      <w:r>
        <w:t xml:space="preserve">the Implementation Business Case is asking </w:t>
      </w:r>
      <w:r w:rsidR="00254BC8" w:rsidRPr="00681D01">
        <w:t>management and the a</w:t>
      </w:r>
      <w:r w:rsidR="00254BC8" w:rsidRPr="00CC1378">
        <w:t xml:space="preserve">pproving authority to </w:t>
      </w:r>
      <w:r>
        <w:t xml:space="preserve">approve; </w:t>
      </w:r>
      <w:r w:rsidRPr="00941AEC">
        <w:rPr>
          <w:i/>
          <w:iCs/>
        </w:rPr>
        <w:t>consider the level of detail and materiality they require</w:t>
      </w:r>
      <w:r>
        <w:t>.</w:t>
      </w:r>
      <w:r w:rsidR="00254BC8" w:rsidRPr="00CC1378">
        <w:t xml:space="preserve"> </w:t>
      </w:r>
      <w:r w:rsidR="00941AEC">
        <w:t xml:space="preserve"> Include a brief description of the contract type(s) and a summary of contracted products and services, and a summary of the key contract milestones. Provide evidence of consideration of payment mechanisms, preferably tied to completion of milestones.</w:t>
      </w:r>
    </w:p>
    <w:p w14:paraId="11A060DD" w14:textId="6DDDC514" w:rsidR="00254BC8" w:rsidRDefault="00BC5ACC" w:rsidP="0087038D">
      <w:pPr>
        <w:spacing w:line="260" w:lineRule="atLeast"/>
      </w:pPr>
      <w:r>
        <w:t>The</w:t>
      </w:r>
      <w:r w:rsidR="00254BC8" w:rsidRPr="00CC1378">
        <w:t xml:space="preserve"> </w:t>
      </w:r>
      <w:r w:rsidR="00464600">
        <w:t>Contract Management Plan must b</w:t>
      </w:r>
      <w:r>
        <w:t>e</w:t>
      </w:r>
      <w:r w:rsidR="00254BC8" w:rsidRPr="00CC1378">
        <w:t xml:space="preserve"> </w:t>
      </w:r>
      <w:r w:rsidR="00464600">
        <w:t>referenced in</w:t>
      </w:r>
      <w:r w:rsidRPr="00464600">
        <w:t xml:space="preserve"> Annex</w:t>
      </w:r>
      <w:r w:rsidR="00464600">
        <w:t xml:space="preserve"> 2</w:t>
      </w:r>
      <w:r>
        <w:t xml:space="preserve"> </w:t>
      </w:r>
      <w:r w:rsidR="00254BC8" w:rsidRPr="00CC1378">
        <w:t>and only a brief summary is required in this section.</w:t>
      </w:r>
    </w:p>
    <w:p w14:paraId="50B0A9AB" w14:textId="77777777" w:rsidR="00254BC8" w:rsidRDefault="00254BC8" w:rsidP="00211397">
      <w:pPr>
        <w:pStyle w:val="Heading3"/>
        <w:keepLines/>
      </w:pPr>
      <w:r w:rsidRPr="00107DE4">
        <w:t>Negotiated Risk allocation</w:t>
      </w:r>
    </w:p>
    <w:p w14:paraId="2469E57B" w14:textId="6CA6B655" w:rsidR="00254BC8" w:rsidRDefault="00254BC8" w:rsidP="00211397">
      <w:pPr>
        <w:keepNext/>
        <w:keepLines/>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8A68BF">
        <w:rPr>
          <w:sz w:val="20"/>
        </w:rPr>
        <w:t>This action applies primarily to Infrastructure projects.  Consider whether it is feasible or appropriate for other projects.</w:t>
      </w:r>
    </w:p>
    <w:p w14:paraId="0D9569CB" w14:textId="77777777" w:rsidR="00254BC8" w:rsidRPr="008A68B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8A68BF">
        <w:rPr>
          <w:sz w:val="20"/>
        </w:rPr>
        <w:t xml:space="preserve">The purpose of this action is to consider how the risks may be balanced between the purchaser and the supplier(s), in the design, build, funding and operational phases or delivery could be shared between the public and private sectors.  </w:t>
      </w:r>
    </w:p>
    <w:p w14:paraId="38083683" w14:textId="77777777" w:rsidR="00254BC8" w:rsidRPr="008A68B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8A68BF">
        <w:rPr>
          <w:sz w:val="20"/>
        </w:rPr>
        <w:t>The intention is to optimise the allocation and sharing of risk, rather than to maximise the number of risks to be transferred to potential service providers for delivery of the project(s).</w:t>
      </w:r>
    </w:p>
    <w:p w14:paraId="2E20080C" w14:textId="77777777" w:rsidR="00254BC8" w:rsidRPr="008A68B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8A68BF">
        <w:rPr>
          <w:sz w:val="20"/>
        </w:rPr>
        <w:t>A fair and transparent approach to risk transfer is required. This includes:</w:t>
      </w:r>
    </w:p>
    <w:p w14:paraId="1DE180A4" w14:textId="77777777" w:rsidR="00254BC8" w:rsidRPr="008A68BF" w:rsidRDefault="00254BC8" w:rsidP="008A68BF">
      <w:pPr>
        <w:numPr>
          <w:ilvl w:val="0"/>
          <w:numId w:val="7"/>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 xml:space="preserve">Specific risks should be allocated to the party best able to manage it, subject to the risk premium.  </w:t>
      </w:r>
    </w:p>
    <w:p w14:paraId="6F10C39B" w14:textId="77777777" w:rsidR="00254BC8" w:rsidRPr="008A68BF" w:rsidRDefault="00254BC8" w:rsidP="008A68BF">
      <w:pPr>
        <w:numPr>
          <w:ilvl w:val="0"/>
          <w:numId w:val="7"/>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An understanding of the balance of risk between designer and contractor</w:t>
      </w:r>
    </w:p>
    <w:p w14:paraId="712CFBB4" w14:textId="77777777" w:rsidR="00254BC8" w:rsidRPr="008A68BF" w:rsidRDefault="00254BC8" w:rsidP="008A68BF">
      <w:pPr>
        <w:numPr>
          <w:ilvl w:val="0"/>
          <w:numId w:val="7"/>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The value of risk transfer and acceptance that must be budgeted for and priced</w:t>
      </w:r>
    </w:p>
    <w:p w14:paraId="65C125E5" w14:textId="77777777" w:rsidR="00254BC8" w:rsidRPr="008A68BF" w:rsidRDefault="00254BC8" w:rsidP="008A68BF">
      <w:pPr>
        <w:numPr>
          <w:ilvl w:val="0"/>
          <w:numId w:val="7"/>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Risk transfer should be fully assessed and signed-off at the appropriate executive level</w:t>
      </w:r>
    </w:p>
    <w:p w14:paraId="3DD7A59F" w14:textId="77777777" w:rsidR="00254BC8" w:rsidRPr="008A68BF" w:rsidRDefault="00254BC8" w:rsidP="008A68BF">
      <w:pPr>
        <w:numPr>
          <w:ilvl w:val="0"/>
          <w:numId w:val="7"/>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The adoption of an appropriate form of contract.</w:t>
      </w:r>
    </w:p>
    <w:p w14:paraId="14F9A007" w14:textId="77777777" w:rsidR="00254BC8" w:rsidRPr="008A68B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b/>
          <w:sz w:val="20"/>
        </w:rPr>
      </w:pPr>
      <w:r w:rsidRPr="008A68BF">
        <w:rPr>
          <w:b/>
          <w:sz w:val="20"/>
        </w:rPr>
        <w:t>Guiding principles</w:t>
      </w:r>
    </w:p>
    <w:p w14:paraId="477CE929" w14:textId="77777777" w:rsidR="00254BC8" w:rsidRPr="008A68BF" w:rsidRDefault="00254BC8" w:rsidP="008A68BF">
      <w:pPr>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 xml:space="preserve">The public sector should consider transferring risk to the private sector </w:t>
      </w:r>
      <w:r w:rsidR="00751EC7" w:rsidRPr="008A68BF">
        <w:rPr>
          <w:sz w:val="20"/>
          <w:u w:val="single"/>
        </w:rPr>
        <w:t xml:space="preserve">only </w:t>
      </w:r>
      <w:r w:rsidRPr="008A68BF">
        <w:rPr>
          <w:sz w:val="20"/>
          <w:u w:val="single"/>
        </w:rPr>
        <w:t>when the service provider is better able to influence the outcome than the procuring authority</w:t>
      </w:r>
      <w:r w:rsidRPr="008A68BF">
        <w:rPr>
          <w:sz w:val="20"/>
        </w:rPr>
        <w:t>.</w:t>
      </w:r>
    </w:p>
    <w:p w14:paraId="1E09A1B6" w14:textId="77777777" w:rsidR="00254BC8" w:rsidRPr="008A68BF" w:rsidRDefault="00254BC8" w:rsidP="008A68BF">
      <w:pPr>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The degree to which risks may be transferred depends on the specific proposal under consideration – hence the need to consider this for each procurement.</w:t>
      </w:r>
    </w:p>
    <w:p w14:paraId="728D9875" w14:textId="77777777" w:rsidR="00254BC8" w:rsidRPr="008A68BF" w:rsidRDefault="00254BC8" w:rsidP="008A68BF">
      <w:pPr>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The successful negotiation of risk transfer requires a clear understanding by the procuring authority of the contract risks and service providers cost drivers.</w:t>
      </w:r>
    </w:p>
    <w:p w14:paraId="3D1EBC70" w14:textId="77777777" w:rsidR="00254BC8" w:rsidRPr="008A68BF" w:rsidRDefault="00254BC8" w:rsidP="008A68BF">
      <w:pPr>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 xml:space="preserve">The private sector should be encouraged to take the risks it can manage more effectively than the public sector; particularly where it has clear ownership, responsibility and control.  </w:t>
      </w:r>
    </w:p>
    <w:p w14:paraId="5F2FD8F2" w14:textId="77777777" w:rsidR="00254BC8" w:rsidRPr="008A68BF" w:rsidRDefault="00254BC8" w:rsidP="008A68BF">
      <w:pPr>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The transfer of risks can generate incentives for the private sector to provide more timely, cost-effective and innovative solutions.</w:t>
      </w:r>
    </w:p>
    <w:p w14:paraId="49A2A7F6" w14:textId="77777777" w:rsidR="00254BC8" w:rsidRPr="008A68BF" w:rsidRDefault="00254BC8" w:rsidP="008A68BF">
      <w:pPr>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8A68BF">
        <w:rPr>
          <w:sz w:val="20"/>
        </w:rPr>
        <w:t>Be aware that transfer of risk will incur a premium</w:t>
      </w:r>
      <w:r w:rsidR="00751EC7" w:rsidRPr="008A68BF">
        <w:rPr>
          <w:sz w:val="20"/>
        </w:rPr>
        <w:t xml:space="preserve"> in the contract price</w:t>
      </w:r>
      <w:r w:rsidRPr="008A68BF">
        <w:rPr>
          <w:sz w:val="20"/>
        </w:rPr>
        <w:t>.</w:t>
      </w:r>
    </w:p>
    <w:p w14:paraId="00125F5D" w14:textId="77777777" w:rsidR="00254BC8" w:rsidRPr="008A68B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8A68BF">
        <w:rPr>
          <w:sz w:val="20"/>
        </w:rPr>
        <w:t>Consider the commercial risks and how they can best be managed.  These risks must be in the risk register; roles and responsibilities for mana</w:t>
      </w:r>
      <w:r w:rsidR="00751EC7" w:rsidRPr="008A68BF">
        <w:rPr>
          <w:sz w:val="20"/>
        </w:rPr>
        <w:t xml:space="preserve">gement of each key risk must </w:t>
      </w:r>
      <w:r w:rsidRPr="008A68BF">
        <w:rPr>
          <w:sz w:val="20"/>
        </w:rPr>
        <w:t>be clearly defined.  Document the assumptions underlying the risk allocation proposed.</w:t>
      </w:r>
    </w:p>
    <w:p w14:paraId="5BE121D7" w14:textId="77777777" w:rsidR="00254BC8" w:rsidRDefault="00254BC8" w:rsidP="00941AEC">
      <w:pPr>
        <w:spacing w:after="0" w:line="260" w:lineRule="atLeast"/>
      </w:pPr>
      <w:bookmarkStart w:id="193" w:name="_Toc427737746"/>
      <w:bookmarkStart w:id="194" w:name="_Toc428027716"/>
    </w:p>
    <w:bookmarkEnd w:id="193"/>
    <w:bookmarkEnd w:id="194"/>
    <w:p w14:paraId="66DC11A4" w14:textId="77777777" w:rsidR="00254BC8" w:rsidRPr="00CF7014" w:rsidRDefault="00254BC8" w:rsidP="008A68B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lang w:val="en-NZ"/>
        </w:rPr>
      </w:pPr>
      <w:r w:rsidRPr="00CF7014">
        <w:rPr>
          <w:lang w:val="en-NZ"/>
        </w:rPr>
        <w:t xml:space="preserve">Projects where a Public Private Partnership is the </w:t>
      </w:r>
      <w:r>
        <w:rPr>
          <w:lang w:val="en-NZ"/>
        </w:rPr>
        <w:t>P</w:t>
      </w:r>
      <w:r w:rsidRPr="00CF7014">
        <w:rPr>
          <w:lang w:val="en-NZ"/>
        </w:rPr>
        <w:t xml:space="preserve">referred </w:t>
      </w:r>
      <w:r>
        <w:rPr>
          <w:lang w:val="en-NZ"/>
        </w:rPr>
        <w:t>Option</w:t>
      </w:r>
    </w:p>
    <w:p w14:paraId="239DB492" w14:textId="4C64FB91" w:rsidR="009220D0" w:rsidRPr="008A68B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sz w:val="20"/>
        </w:rPr>
      </w:pPr>
      <w:r w:rsidRPr="008A68BF">
        <w:rPr>
          <w:sz w:val="20"/>
          <w:lang w:val="en-NZ"/>
        </w:rPr>
        <w:t>The Business Case must include a detailed risk allocation schedule (</w:t>
      </w:r>
      <w:hyperlink w:anchor="_Annex_4:_full" w:history="1">
        <w:r w:rsidRPr="008A68BF">
          <w:rPr>
            <w:rStyle w:val="Hyperlink"/>
            <w:sz w:val="20"/>
            <w:lang w:val="en-NZ"/>
          </w:rPr>
          <w:t>Annex</w:t>
        </w:r>
        <w:r w:rsidR="00751EC7" w:rsidRPr="008A68BF">
          <w:rPr>
            <w:rStyle w:val="Hyperlink"/>
            <w:sz w:val="20"/>
            <w:lang w:val="en-NZ"/>
          </w:rPr>
          <w:t xml:space="preserve"> </w:t>
        </w:r>
        <w:r w:rsidR="00883FF1" w:rsidRPr="008A68BF">
          <w:rPr>
            <w:rStyle w:val="Hyperlink"/>
            <w:sz w:val="20"/>
            <w:lang w:val="en-NZ"/>
          </w:rPr>
          <w:t>4</w:t>
        </w:r>
        <w:r w:rsidRPr="008A68BF">
          <w:rPr>
            <w:rStyle w:val="Hyperlink"/>
            <w:sz w:val="20"/>
            <w:lang w:val="en-NZ"/>
          </w:rPr>
          <w:t>)</w:t>
        </w:r>
      </w:hyperlink>
      <w:r w:rsidRPr="008A68BF">
        <w:rPr>
          <w:sz w:val="20"/>
          <w:lang w:val="en-NZ"/>
        </w:rPr>
        <w:t xml:space="preserve"> to ensure that those risks which are proposed to be transferred to the private sector partner are well understood and valued for the PSC. </w:t>
      </w:r>
      <w:r w:rsidRPr="008A68BF">
        <w:rPr>
          <w:sz w:val="20"/>
        </w:rPr>
        <w:t xml:space="preserve"> We strongly recommend seeking professional advice.  </w:t>
      </w:r>
    </w:p>
    <w:p w14:paraId="0FFE5C6E" w14:textId="77777777" w:rsidR="00A07055" w:rsidRPr="00CF7014" w:rsidRDefault="00A07055" w:rsidP="0087038D">
      <w:pPr>
        <w:spacing w:after="0" w:line="260" w:lineRule="atLeast"/>
      </w:pPr>
    </w:p>
    <w:p w14:paraId="7424FF68" w14:textId="77777777" w:rsidR="00254BC8" w:rsidRDefault="00254BC8" w:rsidP="004E60FF">
      <w:pPr>
        <w:pStyle w:val="Heading4"/>
        <w:keepLines/>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pPr>
      <w:r>
        <w:t>Negotiated Payment Arrangements</w:t>
      </w:r>
    </w:p>
    <w:p w14:paraId="4A6725BA" w14:textId="77777777" w:rsidR="00254BC8" w:rsidRPr="004E60FF" w:rsidRDefault="00254BC8" w:rsidP="004E60FF">
      <w:pPr>
        <w:keepNext/>
        <w:keepLines/>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60" w:line="260" w:lineRule="atLeast"/>
        <w:rPr>
          <w:sz w:val="20"/>
        </w:rPr>
      </w:pPr>
      <w:r w:rsidRPr="004E60FF">
        <w:rPr>
          <w:sz w:val="20"/>
        </w:rPr>
        <w:t>If it is properly constructed, the payment mechanism will incentivise the supplier to deliver services in accordance with the requirements of the procuring organisation.  In particular consider:</w:t>
      </w:r>
    </w:p>
    <w:p w14:paraId="721F2E9A" w14:textId="77777777" w:rsidR="00254BC8" w:rsidRPr="004E60FF" w:rsidRDefault="00254BC8" w:rsidP="004E60FF">
      <w:pPr>
        <w:keepNext/>
        <w:keepLines/>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4E60FF">
        <w:rPr>
          <w:sz w:val="20"/>
        </w:rPr>
        <w:t>incentives for suppliers to provide value and innovate</w:t>
      </w:r>
    </w:p>
    <w:p w14:paraId="314BC893" w14:textId="77777777" w:rsidR="00254BC8" w:rsidRPr="004E60FF" w:rsidRDefault="00254BC8" w:rsidP="004E60FF">
      <w:pPr>
        <w:keepNext/>
        <w:keepLines/>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4E60FF">
        <w:rPr>
          <w:sz w:val="20"/>
        </w:rPr>
        <w:t>the balance between risk and return</w:t>
      </w:r>
    </w:p>
    <w:p w14:paraId="435A8858" w14:textId="77777777" w:rsidR="00254BC8" w:rsidRPr="004E60FF" w:rsidRDefault="00254BC8" w:rsidP="004E60FF">
      <w:pPr>
        <w:keepNext/>
        <w:keepLines/>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proofErr w:type="gramStart"/>
      <w:r w:rsidRPr="004E60FF">
        <w:rPr>
          <w:sz w:val="20"/>
        </w:rPr>
        <w:t>the</w:t>
      </w:r>
      <w:proofErr w:type="gramEnd"/>
      <w:r w:rsidRPr="004E60FF">
        <w:rPr>
          <w:sz w:val="20"/>
        </w:rPr>
        <w:t xml:space="preserve"> relationship between delivery of service outputs and performance of supplier (mechanisms and milestones).</w:t>
      </w:r>
    </w:p>
    <w:p w14:paraId="032D62C0" w14:textId="77777777" w:rsidR="00254BC8" w:rsidRPr="004E60FF" w:rsidRDefault="00254BC8" w:rsidP="004E60FF">
      <w:pPr>
        <w:keepNext/>
        <w:keepLines/>
        <w:numPr>
          <w:ilvl w:val="0"/>
          <w:numId w:val="22"/>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proofErr w:type="gramStart"/>
      <w:r w:rsidRPr="004E60FF">
        <w:rPr>
          <w:sz w:val="20"/>
        </w:rPr>
        <w:t>the</w:t>
      </w:r>
      <w:proofErr w:type="gramEnd"/>
      <w:r w:rsidRPr="004E60FF">
        <w:rPr>
          <w:sz w:val="20"/>
        </w:rPr>
        <w:t xml:space="preserve"> process to manage change.</w:t>
      </w:r>
    </w:p>
    <w:p w14:paraId="7F321DDD" w14:textId="77777777" w:rsidR="00254BC8" w:rsidRPr="004E60FF" w:rsidRDefault="00254BC8" w:rsidP="004E60FF">
      <w:pPr>
        <w:keepNext/>
        <w:keepLines/>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 xml:space="preserve">The payment mechanism is the formula against which payment for the contracted services to be made. The underlying aim of the payment mechanism and pricing structure is to reflect the optimum balance between risk and return in the contract. The approach should be to relate the payment to the delivery of service outputs and the performance of the supplier. </w:t>
      </w:r>
    </w:p>
    <w:p w14:paraId="40B09761" w14:textId="77777777" w:rsidR="00950A2D" w:rsidRPr="00950A2D" w:rsidRDefault="00950A2D" w:rsidP="0087038D">
      <w:pPr>
        <w:spacing w:after="0" w:line="260" w:lineRule="atLeast"/>
        <w:rPr>
          <w:lang w:val="en-NZ"/>
        </w:rPr>
      </w:pPr>
    </w:p>
    <w:p w14:paraId="51AC4AF7" w14:textId="77777777" w:rsidR="00254BC8" w:rsidRDefault="00254BC8" w:rsidP="008A68B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before="0" w:line="260" w:lineRule="atLeast"/>
        <w:rPr>
          <w:lang w:val="en-NZ"/>
        </w:rPr>
      </w:pPr>
      <w:r>
        <w:rPr>
          <w:lang w:val="en-NZ"/>
        </w:rPr>
        <w:t>Projects where a Public Private Partnership is the Preferred Option</w:t>
      </w:r>
    </w:p>
    <w:p w14:paraId="59C4C0B1" w14:textId="77777777" w:rsidR="00254BC8" w:rsidRPr="004E60F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sz w:val="20"/>
        </w:rPr>
      </w:pPr>
      <w:r w:rsidRPr="004E60FF">
        <w:rPr>
          <w:sz w:val="20"/>
          <w:lang w:val="en-NZ"/>
        </w:rPr>
        <w:t>The performance regime is central to the development of a PPP-specific payment mechanism and this is discussed further below</w:t>
      </w:r>
      <w:r w:rsidRPr="004E60FF">
        <w:rPr>
          <w:sz w:val="20"/>
        </w:rPr>
        <w:t xml:space="preserve"> We recommend seeking professional advice.</w:t>
      </w:r>
    </w:p>
    <w:p w14:paraId="6C2133C5" w14:textId="77777777" w:rsidR="00254BC8" w:rsidRPr="004E60F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sz w:val="20"/>
          <w:lang w:val="en-NZ"/>
        </w:rPr>
      </w:pPr>
      <w:r w:rsidRPr="004E60FF">
        <w:rPr>
          <w:sz w:val="20"/>
          <w:lang w:val="en-NZ"/>
        </w:rPr>
        <w:t xml:space="preserve">PPP procurement is predicated on the concept of payment for performance. </w:t>
      </w:r>
      <w:r w:rsidR="00950A2D" w:rsidRPr="004E60FF">
        <w:rPr>
          <w:sz w:val="20"/>
          <w:lang w:val="en-NZ"/>
        </w:rPr>
        <w:t xml:space="preserve"> </w:t>
      </w:r>
      <w:r w:rsidRPr="004E60FF">
        <w:rPr>
          <w:sz w:val="20"/>
          <w:lang w:val="en-NZ"/>
        </w:rPr>
        <w:t xml:space="preserve">Together, the performance regime and </w:t>
      </w:r>
      <w:r w:rsidR="00107DE4" w:rsidRPr="004E60FF">
        <w:rPr>
          <w:sz w:val="20"/>
          <w:lang w:val="en-NZ"/>
        </w:rPr>
        <w:t>p</w:t>
      </w:r>
      <w:r w:rsidRPr="004E60FF">
        <w:rPr>
          <w:sz w:val="20"/>
          <w:lang w:val="en-NZ"/>
        </w:rPr>
        <w:t xml:space="preserve">ayment mechanism incentivise enhanced asset performance and service provision (to the extent included within the PPP contract) throughout the operating period. </w:t>
      </w:r>
    </w:p>
    <w:p w14:paraId="50CBF4DE" w14:textId="77777777" w:rsidR="00254BC8" w:rsidRPr="004E60F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sz w:val="20"/>
          <w:lang w:val="en-NZ"/>
        </w:rPr>
      </w:pPr>
      <w:r w:rsidRPr="004E60FF">
        <w:rPr>
          <w:sz w:val="20"/>
          <w:lang w:val="en-NZ"/>
        </w:rPr>
        <w:t>Additional analysis is required to consider the specific performance standards and penalties which may be applied in the PPP project agreement.  This requires the procuring entity to determine how the asset and service will be funded (on either an availability or user charge model) as well as how payment will be linked to the specific performance of the service outcomes required.</w:t>
      </w:r>
    </w:p>
    <w:p w14:paraId="3B7DBC7E" w14:textId="77777777" w:rsidR="00254BC8" w:rsidRPr="004E60F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sz w:val="20"/>
          <w:lang w:val="en-NZ"/>
        </w:rPr>
      </w:pPr>
      <w:r w:rsidRPr="004E60FF">
        <w:rPr>
          <w:sz w:val="20"/>
          <w:lang w:val="en-NZ"/>
        </w:rPr>
        <w:t>The procuring entity will need to consider how the performance regime can incentivise the delivery of those outcomes through performance payments and abatements as well as penalties for incidents which are simply unacceptable to the procuring entity.</w:t>
      </w:r>
    </w:p>
    <w:p w14:paraId="61B5116D" w14:textId="77777777" w:rsidR="00254BC8" w:rsidRPr="004E60FF" w:rsidRDefault="00254BC8" w:rsidP="008A68B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before="120" w:line="260" w:lineRule="atLeast"/>
        <w:rPr>
          <w:sz w:val="20"/>
          <w:lang w:val="en-NZ"/>
        </w:rPr>
      </w:pPr>
      <w:r w:rsidRPr="004E60FF">
        <w:rPr>
          <w:sz w:val="20"/>
          <w:lang w:val="en-NZ"/>
        </w:rPr>
        <w:t xml:space="preserve">The procuring entity should consult with the Infrastructure Commission regarding the proposed performance </w:t>
      </w:r>
      <w:r w:rsidRPr="004E60FF">
        <w:rPr>
          <w:sz w:val="20"/>
        </w:rPr>
        <w:t>regime</w:t>
      </w:r>
      <w:r w:rsidRPr="004E60FF">
        <w:rPr>
          <w:sz w:val="20"/>
          <w:lang w:val="en-NZ"/>
        </w:rPr>
        <w:t>.</w:t>
      </w:r>
    </w:p>
    <w:p w14:paraId="7A6A72C3" w14:textId="77777777" w:rsidR="00584A3E" w:rsidRPr="00C3276E" w:rsidRDefault="00584A3E" w:rsidP="0087038D">
      <w:pPr>
        <w:spacing w:line="260" w:lineRule="atLeast"/>
        <w:rPr>
          <w:rStyle w:val="Hyperlink"/>
        </w:rPr>
      </w:pPr>
      <w:r>
        <w:fldChar w:fldCharType="begin"/>
      </w:r>
      <w:r>
        <w:instrText>HYPERLINK  \l "_Commercial_Case_–"</w:instrText>
      </w:r>
      <w:r>
        <w:fldChar w:fldCharType="separate"/>
      </w:r>
      <w:r w:rsidRPr="00C3276E">
        <w:rPr>
          <w:rStyle w:val="Hyperlink"/>
        </w:rPr>
        <w:t>&lt;</w:t>
      </w:r>
      <w:proofErr w:type="gramStart"/>
      <w:r w:rsidRPr="00C3276E">
        <w:rPr>
          <w:rStyle w:val="Hyperlink"/>
        </w:rPr>
        <w:t>back</w:t>
      </w:r>
      <w:proofErr w:type="gramEnd"/>
      <w:r w:rsidRPr="00C3276E">
        <w:rPr>
          <w:rStyle w:val="Hyperlink"/>
        </w:rPr>
        <w:t xml:space="preserve"> to template&gt;</w:t>
      </w:r>
    </w:p>
    <w:p w14:paraId="60C19FD2" w14:textId="77777777" w:rsidR="00584A3E" w:rsidRPr="00E17BBC" w:rsidRDefault="00584A3E" w:rsidP="0087038D">
      <w:pPr>
        <w:spacing w:before="120" w:line="260" w:lineRule="atLeast"/>
        <w:rPr>
          <w:lang w:val="en-NZ"/>
        </w:rPr>
      </w:pPr>
      <w:r>
        <w:fldChar w:fldCharType="end"/>
      </w:r>
    </w:p>
    <w:p w14:paraId="7F1D143A" w14:textId="77777777" w:rsidR="00254BC8" w:rsidRPr="00CC1378" w:rsidRDefault="00254BC8" w:rsidP="006E4FDB">
      <w:pPr>
        <w:pStyle w:val="Heading1"/>
      </w:pPr>
      <w:bookmarkStart w:id="195" w:name="_Financial_Case_–_1"/>
      <w:bookmarkStart w:id="196" w:name="_Toc381131323"/>
      <w:bookmarkStart w:id="197" w:name="_Toc430704074"/>
      <w:bookmarkStart w:id="198" w:name="_Toc431213563"/>
      <w:bookmarkStart w:id="199" w:name="_Toc50549012"/>
      <w:bookmarkEnd w:id="195"/>
      <w:r w:rsidRPr="00CC1378">
        <w:t xml:space="preserve">Financial Case – </w:t>
      </w:r>
      <w:bookmarkEnd w:id="196"/>
      <w:bookmarkEnd w:id="197"/>
      <w:bookmarkEnd w:id="198"/>
      <w:r>
        <w:t>Funding the project</w:t>
      </w:r>
      <w:bookmarkEnd w:id="199"/>
    </w:p>
    <w:p w14:paraId="199DE637" w14:textId="77777777" w:rsidR="005F68E9" w:rsidRPr="00D17BFC" w:rsidRDefault="005F68E9" w:rsidP="006E4FDB">
      <w:pPr>
        <w:pStyle w:val="Heading2"/>
      </w:pPr>
      <w:bookmarkStart w:id="200" w:name="_Toc381131324"/>
      <w:bookmarkStart w:id="201" w:name="_Toc430704075"/>
      <w:bookmarkStart w:id="202" w:name="_Toc431213564"/>
      <w:r>
        <w:t>Step 9</w:t>
      </w:r>
      <w:r w:rsidRPr="00D17BFC">
        <w:t xml:space="preserve">: </w:t>
      </w:r>
      <w:r>
        <w:t>Contracting for the deal</w:t>
      </w:r>
    </w:p>
    <w:p w14:paraId="59958A3F" w14:textId="79D11110" w:rsidR="005F68E9" w:rsidRPr="00211397" w:rsidRDefault="005F68E9" w:rsidP="00211397">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color w:val="1F4E79"/>
          <w:sz w:val="20"/>
        </w:rPr>
      </w:pPr>
      <w:r w:rsidRPr="00211397">
        <w:rPr>
          <w:color w:val="1F4E79"/>
          <w:sz w:val="20"/>
        </w:rPr>
        <w:t>Action 29</w:t>
      </w:r>
      <w:r w:rsidR="00211397">
        <w:rPr>
          <w:color w:val="1F4E79"/>
          <w:sz w:val="20"/>
        </w:rPr>
        <w:t xml:space="preserve">: </w:t>
      </w:r>
      <w:r w:rsidRPr="00211397">
        <w:rPr>
          <w:color w:val="1F4E79"/>
          <w:sz w:val="20"/>
        </w:rPr>
        <w:t>Financial analysis and implications.</w:t>
      </w:r>
    </w:p>
    <w:p w14:paraId="58E56A8D" w14:textId="7A9FF469" w:rsidR="00254BC8" w:rsidRDefault="00254BC8" w:rsidP="006E4FDB">
      <w:pPr>
        <w:pStyle w:val="Heading2"/>
      </w:pPr>
      <w:r w:rsidRPr="00CC1378">
        <w:t xml:space="preserve">Action 29: Financial </w:t>
      </w:r>
      <w:r>
        <w:t xml:space="preserve">Analysis and </w:t>
      </w:r>
      <w:r w:rsidRPr="00CC1378">
        <w:t>Implications</w:t>
      </w:r>
      <w:r w:rsidR="005F68E9">
        <w:t xml:space="preserve"> of the deal</w:t>
      </w:r>
      <w:r w:rsidRPr="00CC1378">
        <w:t xml:space="preserve"> </w:t>
      </w:r>
      <w:bookmarkEnd w:id="200"/>
      <w:bookmarkEnd w:id="201"/>
      <w:bookmarkEnd w:id="202"/>
    </w:p>
    <w:p w14:paraId="743590FD" w14:textId="77777777" w:rsidR="00254BC8" w:rsidRPr="00CC1378" w:rsidRDefault="00254BC8" w:rsidP="006E4FDB">
      <w:pPr>
        <w:pStyle w:val="Heading3"/>
      </w:pPr>
      <w:r>
        <w:t>Purpose</w:t>
      </w:r>
    </w:p>
    <w:p w14:paraId="46083E15" w14:textId="77777777" w:rsidR="00254BC8" w:rsidRPr="00CC1378" w:rsidRDefault="00254BC8" w:rsidP="0087038D">
      <w:pPr>
        <w:spacing w:line="260" w:lineRule="atLeast"/>
      </w:pPr>
      <w:r w:rsidRPr="00CC1378">
        <w:t>The purpose of this action is to explain in detail the financial implications to the organisation of the proposed deal negotiated with the preferred supplier.</w:t>
      </w:r>
    </w:p>
    <w:p w14:paraId="4542955A" w14:textId="77777777" w:rsidR="00254BC8" w:rsidRDefault="00254BC8" w:rsidP="006E4FDB">
      <w:pPr>
        <w:pStyle w:val="Heading3"/>
      </w:pPr>
      <w:r>
        <w:t>What’s expected</w:t>
      </w:r>
    </w:p>
    <w:p w14:paraId="266882DA" w14:textId="72A28B5A" w:rsidR="00254BC8" w:rsidRPr="00CC1378" w:rsidRDefault="00254BC8" w:rsidP="0087038D">
      <w:pPr>
        <w:spacing w:after="60" w:line="260" w:lineRule="atLeast"/>
      </w:pPr>
      <w:r w:rsidRPr="00CC1378">
        <w:t xml:space="preserve">The layout should </w:t>
      </w:r>
      <w:r w:rsidR="00E2365E">
        <w:t xml:space="preserve">update the information provided under </w:t>
      </w:r>
      <w:r w:rsidRPr="00CC1378">
        <w:t xml:space="preserve">the standard headings for the financial case </w:t>
      </w:r>
      <w:r>
        <w:t xml:space="preserve">in the Detailed Business </w:t>
      </w:r>
      <w:r w:rsidR="00751EC7">
        <w:t xml:space="preserve">Case </w:t>
      </w:r>
      <w:r w:rsidRPr="00CC1378">
        <w:t>and explain:</w:t>
      </w:r>
    </w:p>
    <w:p w14:paraId="1270A0EB" w14:textId="77777777" w:rsidR="00254BC8" w:rsidRPr="00CC1378" w:rsidRDefault="00254BC8" w:rsidP="00211397">
      <w:pPr>
        <w:pStyle w:val="Bullet-list"/>
      </w:pPr>
      <w:r w:rsidRPr="00CC1378">
        <w:t>how the charges for the preferred supplier’s offer have been modelled, including the resulting benefits</w:t>
      </w:r>
    </w:p>
    <w:p w14:paraId="05DA01EF" w14:textId="77777777" w:rsidR="00254BC8" w:rsidRPr="00CC1378" w:rsidRDefault="00254BC8" w:rsidP="00211397">
      <w:pPr>
        <w:pStyle w:val="Bullet-list"/>
      </w:pPr>
      <w:r w:rsidRPr="00CC1378">
        <w:t>capital</w:t>
      </w:r>
      <w:r>
        <w:t>, operating expense</w:t>
      </w:r>
      <w:r w:rsidRPr="00CC1378">
        <w:t xml:space="preserve"> and revenue implications of the final deal, including any costs falling to the organisation</w:t>
      </w:r>
    </w:p>
    <w:p w14:paraId="1788E7E5" w14:textId="77777777" w:rsidR="00254BC8" w:rsidRPr="00CC1378" w:rsidRDefault="00254BC8" w:rsidP="00211397">
      <w:pPr>
        <w:pStyle w:val="Bullet-list"/>
      </w:pPr>
      <w:r w:rsidRPr="00CC1378">
        <w:t>any continge</w:t>
      </w:r>
      <w:r>
        <w:t>ncy arrangements for uncertainty and risk</w:t>
      </w:r>
    </w:p>
    <w:p w14:paraId="7A350D43" w14:textId="77777777" w:rsidR="00254BC8" w:rsidRPr="00CC1378" w:rsidRDefault="00254BC8" w:rsidP="00211397">
      <w:pPr>
        <w:pStyle w:val="Bullet-list"/>
      </w:pPr>
      <w:r>
        <w:t xml:space="preserve">the </w:t>
      </w:r>
      <w:r w:rsidRPr="00CC1378">
        <w:t xml:space="preserve">funding arrangements </w:t>
      </w:r>
      <w:r>
        <w:t xml:space="preserve">and </w:t>
      </w:r>
      <w:r w:rsidRPr="00CC1378">
        <w:t>any net effect on user charges (if any)</w:t>
      </w:r>
      <w:r w:rsidRPr="00501809">
        <w:t xml:space="preserve"> </w:t>
      </w:r>
    </w:p>
    <w:p w14:paraId="604AB1B5" w14:textId="77777777" w:rsidR="00254BC8" w:rsidRPr="00CC1378" w:rsidRDefault="00254BC8" w:rsidP="00211397">
      <w:pPr>
        <w:pStyle w:val="Bullet-list"/>
      </w:pPr>
      <w:r w:rsidRPr="00CC1378">
        <w:t>impacts on the financial statements, confirmed by external auditor if needed</w:t>
      </w:r>
    </w:p>
    <w:p w14:paraId="2C905C06" w14:textId="60C8E1F9" w:rsidR="00254BC8" w:rsidRDefault="00254BC8" w:rsidP="00211397">
      <w:pPr>
        <w:pStyle w:val="Bullet-list"/>
      </w:pPr>
      <w:proofErr w:type="gramStart"/>
      <w:r w:rsidRPr="00CC1378">
        <w:t>the</w:t>
      </w:r>
      <w:proofErr w:type="gramEnd"/>
      <w:r w:rsidRPr="00CC1378">
        <w:t xml:space="preserve"> overall affordability f</w:t>
      </w:r>
      <w:r>
        <w:t>or the deal.</w:t>
      </w:r>
    </w:p>
    <w:p w14:paraId="392721E7" w14:textId="77777777" w:rsidR="00254BC8" w:rsidRDefault="00254BC8" w:rsidP="004E60F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before="240" w:line="260" w:lineRule="atLeast"/>
      </w:pPr>
      <w:r>
        <w:t>Assess affordability</w:t>
      </w:r>
    </w:p>
    <w:p w14:paraId="2D4C7EF3"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 xml:space="preserve">Review and confirm or update, the sources of funding.  </w:t>
      </w:r>
    </w:p>
    <w:p w14:paraId="6AAEF68F"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60" w:line="260" w:lineRule="atLeast"/>
        <w:rPr>
          <w:sz w:val="20"/>
        </w:rPr>
      </w:pPr>
      <w:r w:rsidRPr="004E60FF">
        <w:rPr>
          <w:sz w:val="20"/>
        </w:rPr>
        <w:t>Consider any affordability gaps over the appraisal period, ie, the difference between the funding required in any year and funding available from other sources. Consider any required actions to close the gap such as:</w:t>
      </w:r>
    </w:p>
    <w:p w14:paraId="5535B453" w14:textId="77777777" w:rsidR="00254BC8" w:rsidRPr="004E60FF" w:rsidRDefault="00254BC8" w:rsidP="00211397">
      <w:pPr>
        <w:numPr>
          <w:ilvl w:val="0"/>
          <w:numId w:val="25"/>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60" w:line="260" w:lineRule="atLeast"/>
        <w:ind w:left="425" w:hanging="425"/>
        <w:rPr>
          <w:sz w:val="20"/>
        </w:rPr>
      </w:pPr>
      <w:r w:rsidRPr="004E60FF">
        <w:rPr>
          <w:sz w:val="20"/>
        </w:rPr>
        <w:t>adjusting the scope of the preferred option</w:t>
      </w:r>
    </w:p>
    <w:p w14:paraId="0853AEF8" w14:textId="77777777" w:rsidR="00254BC8" w:rsidRPr="004E60FF" w:rsidRDefault="00254BC8" w:rsidP="00211397">
      <w:pPr>
        <w:numPr>
          <w:ilvl w:val="0"/>
          <w:numId w:val="25"/>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60" w:line="260" w:lineRule="atLeast"/>
        <w:ind w:left="425" w:hanging="425"/>
        <w:rPr>
          <w:sz w:val="20"/>
        </w:rPr>
      </w:pPr>
      <w:r w:rsidRPr="004E60FF">
        <w:rPr>
          <w:sz w:val="20"/>
        </w:rPr>
        <w:t>phasing the implementation differently</w:t>
      </w:r>
    </w:p>
    <w:p w14:paraId="0D6C1944" w14:textId="77777777" w:rsidR="00254BC8" w:rsidRPr="004E60FF" w:rsidRDefault="00254BC8" w:rsidP="00211397">
      <w:pPr>
        <w:numPr>
          <w:ilvl w:val="0"/>
          <w:numId w:val="25"/>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60" w:line="260" w:lineRule="atLeast"/>
        <w:ind w:left="425" w:hanging="425"/>
        <w:rPr>
          <w:sz w:val="20"/>
        </w:rPr>
      </w:pPr>
      <w:r w:rsidRPr="004E60FF">
        <w:rPr>
          <w:sz w:val="20"/>
        </w:rPr>
        <w:t>negotiating preferred payments for services</w:t>
      </w:r>
    </w:p>
    <w:p w14:paraId="07120FE3" w14:textId="77777777" w:rsidR="00254BC8" w:rsidRPr="004E60FF" w:rsidRDefault="00254BC8" w:rsidP="00211397">
      <w:pPr>
        <w:numPr>
          <w:ilvl w:val="0"/>
          <w:numId w:val="25"/>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60" w:line="260" w:lineRule="atLeast"/>
        <w:ind w:left="425" w:hanging="425"/>
        <w:rPr>
          <w:sz w:val="20"/>
        </w:rPr>
      </w:pPr>
      <w:proofErr w:type="gramStart"/>
      <w:r w:rsidRPr="004E60FF">
        <w:rPr>
          <w:sz w:val="20"/>
        </w:rPr>
        <w:t>finding</w:t>
      </w:r>
      <w:proofErr w:type="gramEnd"/>
      <w:r w:rsidRPr="004E60FF">
        <w:rPr>
          <w:sz w:val="20"/>
        </w:rPr>
        <w:t xml:space="preserve"> additional sources of funding.</w:t>
      </w:r>
    </w:p>
    <w:p w14:paraId="5AF82432" w14:textId="77777777" w:rsidR="00254BC8" w:rsidRDefault="00254BC8" w:rsidP="0087038D">
      <w:pPr>
        <w:spacing w:after="0" w:line="260" w:lineRule="atLeast"/>
      </w:pPr>
    </w:p>
    <w:p w14:paraId="7C917CDC" w14:textId="77777777" w:rsidR="00254BC8" w:rsidRDefault="00254BC8" w:rsidP="004E60F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lang w:val="en-NZ"/>
        </w:rPr>
      </w:pPr>
      <w:r>
        <w:rPr>
          <w:lang w:val="en-NZ"/>
        </w:rPr>
        <w:t>Projects where a Public Private Partnership is the Preferred Option</w:t>
      </w:r>
    </w:p>
    <w:p w14:paraId="746FF6EF" w14:textId="77777777" w:rsidR="00254BC8"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pPr>
      <w:r>
        <w:rPr>
          <w:lang w:val="en-NZ"/>
        </w:rPr>
        <w:t xml:space="preserve">The project must develop a Public Sector Comparator (PSC) to confirm that PPP procurement offers value for money over more conventional procurement approaches. </w:t>
      </w:r>
      <w:r>
        <w:t xml:space="preserve"> We recommend seeking professional advice.  </w:t>
      </w:r>
    </w:p>
    <w:p w14:paraId="06612823" w14:textId="77777777" w:rsidR="00254BC8" w:rsidRPr="00E55306"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after="80" w:line="260" w:lineRule="atLeast"/>
        <w:rPr>
          <w:lang w:val="en-NZ"/>
        </w:rPr>
      </w:pPr>
      <w:r>
        <w:rPr>
          <w:lang w:val="en-NZ"/>
        </w:rPr>
        <w:t xml:space="preserve">Additional </w:t>
      </w:r>
      <w:r w:rsidRPr="00E55306">
        <w:rPr>
          <w:lang w:val="en-NZ"/>
        </w:rPr>
        <w:t xml:space="preserve">quantitative, or value for money, </w:t>
      </w:r>
      <w:r>
        <w:rPr>
          <w:lang w:val="en-NZ"/>
        </w:rPr>
        <w:t xml:space="preserve">analysis is required for </w:t>
      </w:r>
      <w:r w:rsidRPr="00E55306">
        <w:rPr>
          <w:lang w:val="en-NZ"/>
        </w:rPr>
        <w:t>PPP procurement</w:t>
      </w:r>
      <w:r>
        <w:rPr>
          <w:lang w:val="en-NZ"/>
        </w:rPr>
        <w:t>.  This analysis</w:t>
      </w:r>
      <w:r w:rsidRPr="00E55306">
        <w:rPr>
          <w:lang w:val="en-NZ"/>
        </w:rPr>
        <w:t xml:space="preserve"> compares the cost of procuring a project as a PPP with a PSC that represents the</w:t>
      </w:r>
      <w:r>
        <w:rPr>
          <w:lang w:val="en-NZ"/>
        </w:rPr>
        <w:t xml:space="preserve"> </w:t>
      </w:r>
      <w:bookmarkStart w:id="203" w:name="_Toc381131325"/>
      <w:r w:rsidRPr="00E55306">
        <w:rPr>
          <w:lang w:val="en-NZ"/>
        </w:rPr>
        <w:t>cost if the procuring entity were to deliver the asset and services itself using conventional procurement.  This assessment requires detailed consideration of costs associated with:</w:t>
      </w:r>
    </w:p>
    <w:p w14:paraId="584D7D30" w14:textId="77777777" w:rsidR="00254BC8" w:rsidRPr="00314712" w:rsidRDefault="00254BC8" w:rsidP="004E60FF">
      <w:pPr>
        <w:pStyle w:val="Bullet-lis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lang w:val="en-NZ"/>
        </w:rPr>
      </w:pPr>
      <w:r w:rsidRPr="00E55306">
        <w:rPr>
          <w:lang w:val="en-NZ"/>
        </w:rPr>
        <w:t>the design and construction of the ass</w:t>
      </w:r>
      <w:r>
        <w:rPr>
          <w:lang w:val="en-NZ"/>
        </w:rPr>
        <w:t>et</w:t>
      </w:r>
    </w:p>
    <w:p w14:paraId="2FC8764D" w14:textId="77777777" w:rsidR="00254BC8" w:rsidRPr="00314712" w:rsidRDefault="00254BC8" w:rsidP="004E60FF">
      <w:pPr>
        <w:pStyle w:val="Bullet-lis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lang w:val="en-NZ"/>
        </w:rPr>
      </w:pPr>
      <w:r>
        <w:rPr>
          <w:lang w:val="en-NZ"/>
        </w:rPr>
        <w:t>t</w:t>
      </w:r>
      <w:r w:rsidRPr="00314712">
        <w:rPr>
          <w:lang w:val="en-NZ"/>
        </w:rPr>
        <w:t xml:space="preserve">he maintenance and management of the asset throughout a </w:t>
      </w:r>
      <w:r>
        <w:rPr>
          <w:lang w:val="en-NZ"/>
        </w:rPr>
        <w:t>prescribed period of operations</w:t>
      </w:r>
    </w:p>
    <w:p w14:paraId="386F35F9" w14:textId="77777777" w:rsidR="00254BC8" w:rsidRPr="00314712" w:rsidRDefault="00254BC8" w:rsidP="004E60FF">
      <w:pPr>
        <w:pStyle w:val="Bullet-lis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lang w:val="en-NZ"/>
        </w:rPr>
      </w:pPr>
      <w:r>
        <w:rPr>
          <w:lang w:val="en-NZ"/>
        </w:rPr>
        <w:t>t</w:t>
      </w:r>
      <w:r w:rsidRPr="00314712">
        <w:rPr>
          <w:lang w:val="en-NZ"/>
        </w:rPr>
        <w:t xml:space="preserve">he delivery of services </w:t>
      </w:r>
      <w:r>
        <w:rPr>
          <w:lang w:val="en-NZ"/>
        </w:rPr>
        <w:t>from</w:t>
      </w:r>
      <w:r w:rsidRPr="00314712">
        <w:rPr>
          <w:lang w:val="en-NZ"/>
        </w:rPr>
        <w:t xml:space="preserve"> the asset (where these are to b</w:t>
      </w:r>
      <w:r>
        <w:rPr>
          <w:lang w:val="en-NZ"/>
        </w:rPr>
        <w:t>e included under a DBFMO model)</w:t>
      </w:r>
    </w:p>
    <w:p w14:paraId="1D766EAC" w14:textId="77777777" w:rsidR="00794958" w:rsidRPr="00794958" w:rsidRDefault="00254BC8" w:rsidP="004E60FF">
      <w:pPr>
        <w:pStyle w:val="Bullet-list"/>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line="260" w:lineRule="atLeast"/>
        <w:rPr>
          <w:lang w:val="en-NZ"/>
        </w:rPr>
      </w:pPr>
      <w:r w:rsidRPr="00794958">
        <w:rPr>
          <w:lang w:val="en-NZ"/>
        </w:rPr>
        <w:t>those risks relating to the asset and service delivery that are proposed to be transferred to the private sector under PPP procurement.</w:t>
      </w:r>
    </w:p>
    <w:p w14:paraId="63806E76" w14:textId="77777777" w:rsidR="00794958" w:rsidRPr="00993F59" w:rsidRDefault="00794958" w:rsidP="004E60FF">
      <w:pPr>
        <w:pStyle w:val="Bullet-list"/>
        <w:numPr>
          <w:ilvl w:val="0"/>
          <w:numId w:val="0"/>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C5E0B3"/>
        <w:spacing w:after="180" w:line="260" w:lineRule="atLeast"/>
        <w:rPr>
          <w:szCs w:val="22"/>
        </w:rPr>
      </w:pPr>
      <w:r w:rsidRPr="00794958">
        <w:t>Where applicable include how any debt sustainability and project financing will be managed transparently</w:t>
      </w:r>
      <w:r w:rsidRPr="00993F59">
        <w:rPr>
          <w:szCs w:val="22"/>
        </w:rPr>
        <w:t>.</w:t>
      </w:r>
      <w:r w:rsidRPr="00993F59">
        <w:rPr>
          <w:szCs w:val="22"/>
          <w:vertAlign w:val="superscript"/>
        </w:rPr>
        <w:footnoteReference w:id="11"/>
      </w:r>
    </w:p>
    <w:p w14:paraId="54F13B7E" w14:textId="77777777" w:rsidR="00E2365E" w:rsidRPr="005938A1" w:rsidRDefault="00E2365E" w:rsidP="006E4FDB">
      <w:pPr>
        <w:pStyle w:val="Heading3"/>
      </w:pPr>
      <w:r>
        <w:t>Suggested evidence</w:t>
      </w:r>
    </w:p>
    <w:p w14:paraId="59287AAC" w14:textId="790C0D98" w:rsidR="00E2365E" w:rsidRPr="004E60FF" w:rsidRDefault="00E2365E" w:rsidP="0087038D">
      <w:pPr>
        <w:spacing w:line="260" w:lineRule="atLeast"/>
        <w:rPr>
          <w:szCs w:val="22"/>
        </w:rPr>
      </w:pPr>
      <w:r w:rsidRPr="004E60FF">
        <w:rPr>
          <w:szCs w:val="22"/>
        </w:rPr>
        <w:t xml:space="preserve">Summary financial costing table </w:t>
      </w:r>
      <w:r w:rsidR="008B52AA" w:rsidRPr="004E60FF">
        <w:rPr>
          <w:szCs w:val="22"/>
        </w:rPr>
        <w:t>showing financial impacts on the agency.</w:t>
      </w:r>
    </w:p>
    <w:p w14:paraId="453EE18C" w14:textId="1E497BE7" w:rsidR="00E2365E" w:rsidRPr="004E60FF" w:rsidRDefault="008B52AA" w:rsidP="0087038D">
      <w:pPr>
        <w:spacing w:line="260" w:lineRule="atLeast"/>
        <w:rPr>
          <w:iCs/>
          <w:color w:val="000000"/>
          <w:szCs w:val="22"/>
        </w:rPr>
      </w:pPr>
      <w:r w:rsidRPr="004E60FF">
        <w:rPr>
          <w:rStyle w:val="Emphasis"/>
          <w:i w:val="0"/>
          <w:color w:val="000000"/>
          <w:sz w:val="22"/>
          <w:szCs w:val="22"/>
        </w:rPr>
        <w:t>F</w:t>
      </w:r>
      <w:r w:rsidR="00E2365E" w:rsidRPr="004E60FF">
        <w:rPr>
          <w:rStyle w:val="Emphasis"/>
          <w:i w:val="0"/>
          <w:color w:val="000000"/>
          <w:sz w:val="22"/>
          <w:szCs w:val="22"/>
        </w:rPr>
        <w:t xml:space="preserve">ull list of financial assumptions </w:t>
      </w:r>
      <w:r w:rsidRPr="004E60FF">
        <w:rPr>
          <w:rStyle w:val="Emphasis"/>
          <w:i w:val="0"/>
          <w:color w:val="000000"/>
          <w:sz w:val="22"/>
          <w:szCs w:val="22"/>
        </w:rPr>
        <w:t xml:space="preserve">included </w:t>
      </w:r>
      <w:r w:rsidR="00E2365E" w:rsidRPr="004E60FF">
        <w:rPr>
          <w:rStyle w:val="Emphasis"/>
          <w:i w:val="0"/>
          <w:color w:val="000000"/>
          <w:sz w:val="22"/>
          <w:szCs w:val="22"/>
        </w:rPr>
        <w:t xml:space="preserve">as </w:t>
      </w:r>
      <w:hyperlink w:anchor="_Annex_5:_Full" w:history="1">
        <w:r w:rsidR="00B0578D" w:rsidRPr="004E60FF">
          <w:rPr>
            <w:rStyle w:val="Hyperlink"/>
            <w:szCs w:val="22"/>
          </w:rPr>
          <w:t>Annex 5</w:t>
        </w:r>
      </w:hyperlink>
      <w:r w:rsidRPr="004E60FF">
        <w:rPr>
          <w:rStyle w:val="Emphasis"/>
          <w:i w:val="0"/>
          <w:color w:val="000000"/>
          <w:sz w:val="22"/>
          <w:szCs w:val="22"/>
        </w:rPr>
        <w:t xml:space="preserve"> </w:t>
      </w:r>
    </w:p>
    <w:p w14:paraId="7DEAA6F9" w14:textId="6F642853" w:rsidR="00E2365E" w:rsidRPr="004E60FF" w:rsidRDefault="00E2365E" w:rsidP="0087038D">
      <w:pPr>
        <w:spacing w:line="260" w:lineRule="atLeast"/>
        <w:rPr>
          <w:szCs w:val="22"/>
        </w:rPr>
      </w:pPr>
      <w:r w:rsidRPr="004E60FF">
        <w:rPr>
          <w:szCs w:val="22"/>
        </w:rPr>
        <w:t>There must be a Commissioner’s letter (</w:t>
      </w:r>
      <w:hyperlink w:anchor="_Annex_1:_Commissioner’s" w:history="1">
        <w:r w:rsidRPr="004E60FF">
          <w:rPr>
            <w:rStyle w:val="Hyperlink"/>
            <w:szCs w:val="22"/>
          </w:rPr>
          <w:t>Annex 1</w:t>
        </w:r>
      </w:hyperlink>
      <w:r w:rsidRPr="004E60FF">
        <w:rPr>
          <w:szCs w:val="22"/>
        </w:rPr>
        <w:t>) which includes statements confirming the affordability of the proposal.</w:t>
      </w:r>
    </w:p>
    <w:p w14:paraId="706BDAFB" w14:textId="31711E08" w:rsidR="008B52AA" w:rsidRPr="004E60FF" w:rsidRDefault="008B52AA" w:rsidP="0087038D">
      <w:pPr>
        <w:spacing w:line="260" w:lineRule="atLeast"/>
        <w:rPr>
          <w:szCs w:val="22"/>
        </w:rPr>
      </w:pPr>
      <w:r w:rsidRPr="004E60FF">
        <w:rPr>
          <w:szCs w:val="22"/>
        </w:rPr>
        <w:t xml:space="preserve">Detailed financial models, other financial documents listed in </w:t>
      </w:r>
      <w:hyperlink w:anchor="_Annex_2:_" w:history="1">
        <w:r w:rsidRPr="004E60FF">
          <w:rPr>
            <w:rStyle w:val="Hyperlink"/>
            <w:szCs w:val="22"/>
          </w:rPr>
          <w:t>Annex 2</w:t>
        </w:r>
      </w:hyperlink>
      <w:r w:rsidRPr="004E60FF">
        <w:rPr>
          <w:szCs w:val="22"/>
        </w:rPr>
        <w:t xml:space="preserve"> and </w:t>
      </w:r>
      <w:r w:rsidRPr="004E60FF">
        <w:rPr>
          <w:rStyle w:val="Emphasis"/>
          <w:i w:val="0"/>
          <w:color w:val="000000"/>
          <w:sz w:val="22"/>
          <w:szCs w:val="22"/>
        </w:rPr>
        <w:t>available on request</w:t>
      </w:r>
    </w:p>
    <w:p w14:paraId="511A84A0" w14:textId="0F6CBA01" w:rsidR="00584A3E" w:rsidRPr="004E60FF" w:rsidRDefault="00584A3E" w:rsidP="006E4FDB">
      <w:pPr>
        <w:rPr>
          <w:rStyle w:val="Hyperlink"/>
          <w:szCs w:val="22"/>
        </w:rPr>
      </w:pPr>
      <w:r w:rsidRPr="004E60FF">
        <w:fldChar w:fldCharType="begin"/>
      </w:r>
      <w:r w:rsidRPr="004E60FF">
        <w:instrText xml:space="preserve"> HYPERLINK  \l "_Financial_Case_–" </w:instrText>
      </w:r>
      <w:r w:rsidRPr="004E60FF">
        <w:fldChar w:fldCharType="separate"/>
      </w:r>
      <w:r w:rsidRPr="004E60FF">
        <w:rPr>
          <w:rStyle w:val="Hyperlink"/>
          <w:szCs w:val="22"/>
        </w:rPr>
        <w:t>&lt;</w:t>
      </w:r>
      <w:proofErr w:type="gramStart"/>
      <w:r w:rsidRPr="004E60FF">
        <w:rPr>
          <w:rStyle w:val="Hyperlink"/>
          <w:szCs w:val="22"/>
        </w:rPr>
        <w:t>back</w:t>
      </w:r>
      <w:proofErr w:type="gramEnd"/>
      <w:r w:rsidRPr="004E60FF">
        <w:rPr>
          <w:rStyle w:val="Hyperlink"/>
          <w:szCs w:val="22"/>
        </w:rPr>
        <w:t xml:space="preserve"> to template&gt;</w:t>
      </w:r>
    </w:p>
    <w:p w14:paraId="015ECD37" w14:textId="77777777" w:rsidR="00584A3E" w:rsidRPr="004E60FF" w:rsidRDefault="00584A3E" w:rsidP="006E4FDB">
      <w:pPr>
        <w:rPr>
          <w:rStyle w:val="Hyperlink"/>
          <w:szCs w:val="22"/>
        </w:rPr>
      </w:pPr>
    </w:p>
    <w:bookmarkStart w:id="204" w:name="_Management_Case_–_1"/>
    <w:bookmarkStart w:id="205" w:name="_Toc430704076"/>
    <w:bookmarkStart w:id="206" w:name="_Toc431213565"/>
    <w:bookmarkEnd w:id="204"/>
    <w:p w14:paraId="2CF3575A" w14:textId="04E3AD4F" w:rsidR="00254BC8" w:rsidRPr="00CC1378" w:rsidRDefault="00584A3E" w:rsidP="006E4FDB">
      <w:pPr>
        <w:pStyle w:val="Heading1"/>
      </w:pPr>
      <w:r w:rsidRPr="004E60FF">
        <w:fldChar w:fldCharType="end"/>
      </w:r>
      <w:bookmarkStart w:id="207" w:name="_Toc50549013"/>
      <w:r w:rsidR="00254BC8" w:rsidRPr="00CC1378">
        <w:t>Management Case –</w:t>
      </w:r>
      <w:r w:rsidR="00254BC8">
        <w:t xml:space="preserve"> </w:t>
      </w:r>
      <w:bookmarkEnd w:id="203"/>
      <w:bookmarkEnd w:id="205"/>
      <w:bookmarkEnd w:id="206"/>
      <w:r w:rsidR="00097A2D">
        <w:t>Planning for</w:t>
      </w:r>
      <w:r w:rsidR="00794958">
        <w:t xml:space="preserve"> successful delivery</w:t>
      </w:r>
      <w:bookmarkEnd w:id="207"/>
    </w:p>
    <w:p w14:paraId="0E6ADD29" w14:textId="77777777" w:rsidR="005F68E9" w:rsidRPr="00D17BFC" w:rsidRDefault="005F68E9" w:rsidP="006E4FDB">
      <w:pPr>
        <w:pStyle w:val="Heading2"/>
      </w:pPr>
      <w:bookmarkStart w:id="208" w:name="_Toc381131326"/>
      <w:bookmarkStart w:id="209" w:name="_Toc430704077"/>
      <w:bookmarkStart w:id="210" w:name="_Toc431213566"/>
      <w:r>
        <w:t>Step 10</w:t>
      </w:r>
      <w:r w:rsidRPr="00D17BFC">
        <w:t xml:space="preserve">: </w:t>
      </w:r>
      <w:r>
        <w:t>Ensuring successful delivery</w:t>
      </w:r>
    </w:p>
    <w:p w14:paraId="34B3151F" w14:textId="77777777" w:rsidR="005F68E9" w:rsidRPr="004E60FF" w:rsidRDefault="005F68E9"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rPr>
          <w:color w:val="2F5496"/>
          <w:sz w:val="20"/>
        </w:rPr>
      </w:pPr>
      <w:r w:rsidRPr="004E60FF">
        <w:rPr>
          <w:color w:val="2F5496"/>
          <w:sz w:val="20"/>
        </w:rPr>
        <w:t>Action 30: Finalise Project management arrangements</w:t>
      </w:r>
    </w:p>
    <w:p w14:paraId="553E1054" w14:textId="77777777" w:rsidR="005F68E9" w:rsidRPr="004E60FF" w:rsidRDefault="005F68E9"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rPr>
          <w:color w:val="2F5496"/>
          <w:sz w:val="20"/>
        </w:rPr>
      </w:pPr>
      <w:r w:rsidRPr="004E60FF">
        <w:rPr>
          <w:color w:val="2F5496"/>
          <w:sz w:val="20"/>
        </w:rPr>
        <w:t>Action 31: Finalise Change management arrangements</w:t>
      </w:r>
    </w:p>
    <w:p w14:paraId="49054257" w14:textId="77777777" w:rsidR="005F68E9" w:rsidRPr="004E60FF" w:rsidRDefault="005F68E9"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rPr>
          <w:color w:val="2F5496"/>
          <w:sz w:val="20"/>
        </w:rPr>
      </w:pPr>
      <w:r w:rsidRPr="004E60FF">
        <w:rPr>
          <w:color w:val="2F5496"/>
          <w:sz w:val="20"/>
        </w:rPr>
        <w:t>Action 32: Finalise Benefit management arrangements</w:t>
      </w:r>
    </w:p>
    <w:p w14:paraId="69CEE143" w14:textId="77777777" w:rsidR="005F68E9" w:rsidRPr="004E60FF" w:rsidRDefault="005F68E9"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rPr>
          <w:color w:val="2F5496"/>
          <w:sz w:val="20"/>
        </w:rPr>
      </w:pPr>
      <w:r w:rsidRPr="004E60FF">
        <w:rPr>
          <w:color w:val="2F5496"/>
          <w:sz w:val="20"/>
        </w:rPr>
        <w:t>Action 33: Finalise Risk and Contract management arrangements</w:t>
      </w:r>
    </w:p>
    <w:p w14:paraId="40A4C97E" w14:textId="77777777" w:rsidR="005F68E9" w:rsidRPr="004E60FF" w:rsidRDefault="005F68E9"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rPr>
          <w:color w:val="2F5496"/>
          <w:sz w:val="20"/>
        </w:rPr>
      </w:pPr>
      <w:r w:rsidRPr="004E60FF">
        <w:rPr>
          <w:color w:val="2F5496"/>
          <w:sz w:val="20"/>
        </w:rPr>
        <w:t>Action 34: Finalise Assurance and post-project planning</w:t>
      </w:r>
    </w:p>
    <w:p w14:paraId="0CD2ADCF" w14:textId="4E834201" w:rsidR="00254BC8" w:rsidRPr="00CC1378" w:rsidRDefault="00254BC8" w:rsidP="006E4FDB">
      <w:pPr>
        <w:pStyle w:val="Heading2"/>
      </w:pPr>
      <w:r w:rsidRPr="00CC1378">
        <w:t>Action 30: Finalise Project Management Arrangements</w:t>
      </w:r>
      <w:bookmarkEnd w:id="208"/>
      <w:bookmarkEnd w:id="209"/>
      <w:bookmarkEnd w:id="210"/>
      <w:r w:rsidRPr="00CC1378">
        <w:t xml:space="preserve"> </w:t>
      </w:r>
    </w:p>
    <w:p w14:paraId="0962992C" w14:textId="77777777" w:rsidR="00254BC8" w:rsidRDefault="00254BC8" w:rsidP="006E4FDB">
      <w:pPr>
        <w:pStyle w:val="Heading3"/>
      </w:pPr>
      <w:r>
        <w:t xml:space="preserve">Purpose </w:t>
      </w:r>
    </w:p>
    <w:p w14:paraId="269ADE97" w14:textId="77777777" w:rsidR="00254BC8" w:rsidRDefault="00794958" w:rsidP="0087038D">
      <w:pPr>
        <w:spacing w:line="260" w:lineRule="atLeast"/>
      </w:pPr>
      <w:r>
        <w:t xml:space="preserve">Confirm that </w:t>
      </w:r>
      <w:r w:rsidR="00254BC8" w:rsidRPr="00CC1378">
        <w:t>the project management arrangements outlined in the previous business case</w:t>
      </w:r>
      <w:r>
        <w:t>(s) have been completed and the project is ready to proceed to delivery.</w:t>
      </w:r>
      <w:r w:rsidR="00254BC8" w:rsidRPr="00CC1378">
        <w:t xml:space="preserve"> </w:t>
      </w:r>
    </w:p>
    <w:p w14:paraId="1E5A03C6" w14:textId="77777777" w:rsidR="00254BC8" w:rsidRDefault="00254BC8" w:rsidP="006E4FDB">
      <w:pPr>
        <w:pStyle w:val="Heading3"/>
      </w:pPr>
      <w:r>
        <w:t>What’s expected</w:t>
      </w:r>
    </w:p>
    <w:p w14:paraId="7E4F9041" w14:textId="77777777" w:rsidR="00254BC8" w:rsidRPr="00CC1378" w:rsidRDefault="00254BC8" w:rsidP="0087038D">
      <w:pPr>
        <w:spacing w:line="260" w:lineRule="atLeast"/>
      </w:pPr>
      <w:r>
        <w:t>T</w:t>
      </w:r>
      <w:r w:rsidRPr="00CC1378">
        <w:t xml:space="preserve">he </w:t>
      </w:r>
      <w:r w:rsidRPr="00950A2D">
        <w:rPr>
          <w:i/>
        </w:rPr>
        <w:t>detailed</w:t>
      </w:r>
      <w:r w:rsidRPr="00CC1378">
        <w:t xml:space="preserve"> arrangements in support of the design, build, and implementation phases. </w:t>
      </w:r>
      <w:r w:rsidR="00950A2D">
        <w:t xml:space="preserve"> </w:t>
      </w:r>
      <w:r w:rsidR="00794958">
        <w:t xml:space="preserve">Don’t overlook the </w:t>
      </w:r>
      <w:r w:rsidRPr="00CC1378">
        <w:t>necessary arrangements for the post</w:t>
      </w:r>
      <w:r w:rsidR="00794958">
        <w:t>-</w:t>
      </w:r>
      <w:r w:rsidRPr="00CC1378">
        <w:t>implementation operational phase of the project, including post project evaluation.</w:t>
      </w:r>
    </w:p>
    <w:p w14:paraId="4D5DF8D6" w14:textId="1C9BE08C" w:rsidR="00254BC8" w:rsidRPr="00CC1378" w:rsidRDefault="00254BC8" w:rsidP="0087038D">
      <w:pPr>
        <w:spacing w:line="260" w:lineRule="atLeast"/>
      </w:pPr>
      <w:r w:rsidRPr="00CC1378">
        <w:t xml:space="preserve">The project management strategy should be </w:t>
      </w:r>
      <w:r w:rsidR="008B52AA" w:rsidRPr="00CC1378">
        <w:t>revisited</w:t>
      </w:r>
      <w:r w:rsidR="008B52AA">
        <w:t xml:space="preserve"> and</w:t>
      </w:r>
      <w:r w:rsidRPr="00CC1378">
        <w:t xml:space="preserve"> updated</w:t>
      </w:r>
      <w:r w:rsidR="00671441">
        <w:t xml:space="preserve"> if</w:t>
      </w:r>
      <w:r w:rsidRPr="00CC1378">
        <w:t xml:space="preserve"> required.</w:t>
      </w:r>
    </w:p>
    <w:p w14:paraId="292000E3" w14:textId="77777777" w:rsidR="00822F8C" w:rsidRDefault="00254BC8" w:rsidP="0087038D">
      <w:pPr>
        <w:spacing w:line="260" w:lineRule="atLeast"/>
      </w:pPr>
      <w:r w:rsidRPr="00CC1378">
        <w:t>The existing framework (project structure, reporting lines, roles and responsibilities) should be shown, together with named individuals, any vacancies and plans for any future changes.</w:t>
      </w:r>
      <w:r w:rsidR="00822F8C">
        <w:t xml:space="preserve">  </w:t>
      </w:r>
    </w:p>
    <w:p w14:paraId="4BCEC175" w14:textId="77777777" w:rsidR="00254BC8" w:rsidRPr="00822F8C" w:rsidRDefault="00822F8C" w:rsidP="0087038D">
      <w:pPr>
        <w:spacing w:line="260" w:lineRule="atLeast"/>
      </w:pPr>
      <w:r>
        <w:t xml:space="preserve">The initiative must show that sufficient resourcing is in place to start delivery, </w:t>
      </w:r>
      <w:r>
        <w:rPr>
          <w:i/>
        </w:rPr>
        <w:t xml:space="preserve">or </w:t>
      </w:r>
      <w:r>
        <w:t>that there is a plan in place to acquire required resources, and the time to do this is provided for in the schedule.  This includes resources for project management, change, risk, benefits, and quality management to support the work in the plan.</w:t>
      </w:r>
    </w:p>
    <w:p w14:paraId="55E079CC" w14:textId="77777777" w:rsidR="00254BC8" w:rsidRDefault="00254BC8" w:rsidP="006E4FDB">
      <w:pPr>
        <w:pStyle w:val="Heading3"/>
      </w:pPr>
      <w:r>
        <w:t>Suggested evidence</w:t>
      </w:r>
    </w:p>
    <w:p w14:paraId="5DBC5900" w14:textId="28DD0389" w:rsidR="00941AEC" w:rsidRPr="00941AEC" w:rsidRDefault="00941AEC" w:rsidP="00941AEC">
      <w:pPr>
        <w:spacing w:line="260" w:lineRule="atLeast"/>
      </w:pPr>
      <w:r w:rsidRPr="00941AEC">
        <w:t>Evidence that a governance and management structure is in place with named individuals and/or a documented recruitment process including timeframes.  Ideally a governance structure chart including names</w:t>
      </w:r>
      <w:r>
        <w:t>.</w:t>
      </w:r>
    </w:p>
    <w:p w14:paraId="1DAF36A2" w14:textId="7C661CE8" w:rsidR="00941AEC" w:rsidRPr="00941AEC" w:rsidRDefault="00941AEC" w:rsidP="00941AEC">
      <w:pPr>
        <w:spacing w:line="260" w:lineRule="atLeast"/>
      </w:pPr>
      <w:r w:rsidRPr="00941AEC">
        <w:t xml:space="preserve">Summary of a schedule </w:t>
      </w:r>
      <w:r w:rsidRPr="00941AEC">
        <w:rPr>
          <w:i/>
          <w:iCs/>
        </w:rPr>
        <w:t>in some form</w:t>
      </w:r>
      <w:r w:rsidRPr="00941AEC">
        <w:t xml:space="preserve"> showing key phases/tranches/increments/milestones; more detailed for the first 6-12 months, higher level further out. This must show alignment with timelines supplied by preferred suppliers.</w:t>
      </w:r>
      <w:r w:rsidR="008F4791">
        <w:t xml:space="preserve"> </w:t>
      </w:r>
    </w:p>
    <w:p w14:paraId="65CFB253" w14:textId="685E3D22" w:rsidR="00941AEC" w:rsidRDefault="00941AEC" w:rsidP="00941AEC">
      <w:pPr>
        <w:spacing w:line="260" w:lineRule="atLeast"/>
      </w:pPr>
      <w:r w:rsidRPr="00941AEC">
        <w:t>There must be a Project Management Plan (or equivalent document that details the day-to-day control processes that will be used to manage delivery including governance, reporting, risk and issues management, dependency management, resourcing, scope and change, how the development methodology (</w:t>
      </w:r>
      <w:proofErr w:type="spellStart"/>
      <w:r w:rsidRPr="00941AEC">
        <w:t>eg</w:t>
      </w:r>
      <w:proofErr w:type="spellEnd"/>
      <w:r w:rsidRPr="00941AEC">
        <w:t xml:space="preserve"> </w:t>
      </w:r>
      <w:proofErr w:type="spellStart"/>
      <w:r w:rsidRPr="00941AEC">
        <w:t>SAFe</w:t>
      </w:r>
      <w:proofErr w:type="spellEnd"/>
      <w:r w:rsidRPr="00941AEC">
        <w:t xml:space="preserve">) will be applied , etc.)  This is a living document (or suite of documents); the current version must be listed in </w:t>
      </w:r>
      <w:hyperlink w:anchor="_Annex_2:_" w:history="1">
        <w:r w:rsidR="008F4791" w:rsidRPr="008B52AA">
          <w:rPr>
            <w:rStyle w:val="Hyperlink"/>
          </w:rPr>
          <w:t>Annex 2</w:t>
        </w:r>
      </w:hyperlink>
      <w:r w:rsidR="008F4791">
        <w:t>and must be available to reviewers.</w:t>
      </w:r>
    </w:p>
    <w:p w14:paraId="0E2B0927" w14:textId="388D5151" w:rsidR="008F4791" w:rsidRPr="00941AEC" w:rsidRDefault="008F4791" w:rsidP="00941AEC">
      <w:pPr>
        <w:spacing w:line="260" w:lineRule="atLeast"/>
      </w:pPr>
      <w:r>
        <w:t xml:space="preserve">There must be a schedule </w:t>
      </w:r>
      <w:r w:rsidRPr="00CC1378">
        <w:t>reflect</w:t>
      </w:r>
      <w:r>
        <w:t>ing</w:t>
      </w:r>
      <w:r w:rsidRPr="00CC1378">
        <w:t xml:space="preserve"> the implementation timescales agreed with the preferred supplier for the delivery of the negotiated services and signed off by stakeholders</w:t>
      </w:r>
      <w:r>
        <w:t>;</w:t>
      </w:r>
      <w:r w:rsidRPr="00941AEC">
        <w:t xml:space="preserve"> this m</w:t>
      </w:r>
      <w:r>
        <w:t>u</w:t>
      </w:r>
      <w:r w:rsidRPr="00941AEC">
        <w:t xml:space="preserve">st be listed in </w:t>
      </w:r>
      <w:hyperlink w:anchor="_Annex_2:_" w:history="1">
        <w:r w:rsidRPr="008B52AA">
          <w:rPr>
            <w:rStyle w:val="Hyperlink"/>
          </w:rPr>
          <w:t>Annex 2</w:t>
        </w:r>
      </w:hyperlink>
      <w:r w:rsidRPr="00CC1378">
        <w:t>.</w:t>
      </w:r>
      <w:r>
        <w:t xml:space="preserve"> Note this may be in the contract and/or in the PMP and/or a separate document.</w:t>
      </w:r>
    </w:p>
    <w:p w14:paraId="6BF9134F" w14:textId="41C9C8FD" w:rsidR="00941AEC" w:rsidRPr="00941AEC" w:rsidRDefault="00941AEC" w:rsidP="00941AEC">
      <w:pPr>
        <w:spacing w:line="260" w:lineRule="atLeast"/>
      </w:pPr>
      <w:r w:rsidRPr="00941AEC">
        <w:t>There must be reference to a Stakeholder Communications plan (or equivalent document) and this m</w:t>
      </w:r>
      <w:r w:rsidR="008F4791">
        <w:t>u</w:t>
      </w:r>
      <w:r w:rsidRPr="00941AEC">
        <w:t xml:space="preserve">st be listed in </w:t>
      </w:r>
      <w:hyperlink w:anchor="_Annex_2:_" w:history="1">
        <w:r w:rsidR="008F4791" w:rsidRPr="008B52AA">
          <w:rPr>
            <w:rStyle w:val="Hyperlink"/>
          </w:rPr>
          <w:t>Annex 2</w:t>
        </w:r>
      </w:hyperlink>
      <w:r w:rsidRPr="00941AEC">
        <w:t>.</w:t>
      </w:r>
    </w:p>
    <w:p w14:paraId="1FAD6E37" w14:textId="41475148" w:rsidR="00254BC8" w:rsidRPr="00CC1378" w:rsidRDefault="00254BC8" w:rsidP="004E60FF">
      <w:pPr>
        <w:spacing w:line="260" w:lineRule="atLeast"/>
      </w:pPr>
      <w:r w:rsidRPr="00CC1378">
        <w:t xml:space="preserve">The latest version of the </w:t>
      </w:r>
      <w:r w:rsidR="00950A2D">
        <w:t>P</w:t>
      </w:r>
      <w:r w:rsidRPr="00CC1378">
        <w:t xml:space="preserve">roject </w:t>
      </w:r>
      <w:r w:rsidR="00950A2D">
        <w:t>Management P</w:t>
      </w:r>
      <w:r w:rsidRPr="00CC1378">
        <w:t xml:space="preserve">lan </w:t>
      </w:r>
      <w:r w:rsidR="00950A2D">
        <w:t>(or equivalent document</w:t>
      </w:r>
      <w:r w:rsidR="00671441">
        <w:t>(s)</w:t>
      </w:r>
      <w:r w:rsidR="00950A2D">
        <w:t xml:space="preserve">) </w:t>
      </w:r>
      <w:r w:rsidR="00671441">
        <w:t>must</w:t>
      </w:r>
      <w:r w:rsidRPr="00CC1378">
        <w:t xml:space="preserve"> be </w:t>
      </w:r>
      <w:r w:rsidR="00671441">
        <w:t xml:space="preserve">listed in </w:t>
      </w:r>
      <w:hyperlink w:anchor="_Annex_2:_" w:history="1">
        <w:r w:rsidR="008F4791" w:rsidRPr="008B52AA">
          <w:rPr>
            <w:rStyle w:val="Hyperlink"/>
          </w:rPr>
          <w:t>Annex 2</w:t>
        </w:r>
      </w:hyperlink>
      <w:r w:rsidR="00671441">
        <w:t xml:space="preserve">and </w:t>
      </w:r>
      <w:r w:rsidR="00671441">
        <w:rPr>
          <w:u w:val="single"/>
        </w:rPr>
        <w:t>must be available to reviewers on request</w:t>
      </w:r>
      <w:r w:rsidRPr="00CC1378">
        <w:t xml:space="preserve">. </w:t>
      </w:r>
      <w:r w:rsidR="00950A2D">
        <w:t xml:space="preserve"> </w:t>
      </w:r>
      <w:r w:rsidR="00671441">
        <w:t xml:space="preserve">Although this is a living document, it must include a </w:t>
      </w:r>
      <w:r w:rsidR="00794958">
        <w:t xml:space="preserve">schedule </w:t>
      </w:r>
      <w:r w:rsidRPr="00CC1378">
        <w:t>reflect</w:t>
      </w:r>
      <w:r w:rsidR="00794958">
        <w:t>ing</w:t>
      </w:r>
      <w:r w:rsidRPr="00CC1378">
        <w:t xml:space="preserve"> the implementation timescales agreed with the preferred supplier for the delivery of the negotiated services and signed off by stakeholders.</w:t>
      </w:r>
    </w:p>
    <w:p w14:paraId="5B69E50F" w14:textId="77777777" w:rsidR="00254BC8" w:rsidRPr="00CC1378" w:rsidRDefault="00254BC8" w:rsidP="006E4FDB">
      <w:pPr>
        <w:pStyle w:val="Heading2"/>
      </w:pPr>
      <w:bookmarkStart w:id="211" w:name="_Toc381131327"/>
      <w:bookmarkStart w:id="212" w:name="_Toc430704078"/>
      <w:bookmarkStart w:id="213" w:name="_Toc431213567"/>
      <w:r w:rsidRPr="00CC1378">
        <w:t>Action 31: Finalise Change Management Arrangements</w:t>
      </w:r>
      <w:bookmarkEnd w:id="211"/>
      <w:bookmarkEnd w:id="212"/>
      <w:bookmarkEnd w:id="213"/>
      <w:r w:rsidRPr="00CC1378">
        <w:t xml:space="preserve"> </w:t>
      </w:r>
    </w:p>
    <w:p w14:paraId="08854951" w14:textId="77777777" w:rsidR="00254BC8" w:rsidRDefault="00254BC8" w:rsidP="006E4FDB">
      <w:pPr>
        <w:pStyle w:val="Heading3"/>
      </w:pPr>
      <w:r>
        <w:t>Purpose</w:t>
      </w:r>
    </w:p>
    <w:p w14:paraId="7C5A6C3C" w14:textId="77777777" w:rsidR="00254BC8" w:rsidRPr="00CC1378" w:rsidRDefault="00254BC8" w:rsidP="004E60FF">
      <w:pPr>
        <w:spacing w:line="260" w:lineRule="atLeast"/>
        <w:rPr>
          <w:spacing w:val="-3"/>
        </w:rPr>
      </w:pPr>
      <w:r w:rsidRPr="00CC1378">
        <w:rPr>
          <w:spacing w:val="-3"/>
        </w:rPr>
        <w:t>Revisit and update the change management arrangements outlined in the previous business case.</w:t>
      </w:r>
    </w:p>
    <w:p w14:paraId="33F72266" w14:textId="77777777" w:rsidR="00254BC8" w:rsidRDefault="00254BC8" w:rsidP="006E4FDB">
      <w:pPr>
        <w:pStyle w:val="Heading3"/>
      </w:pPr>
      <w:r>
        <w:t>What’s expected</w:t>
      </w:r>
    </w:p>
    <w:p w14:paraId="2AEF6C69" w14:textId="77777777" w:rsidR="00254BC8" w:rsidRPr="00CC1378" w:rsidRDefault="00254BC8" w:rsidP="004E60FF">
      <w:pPr>
        <w:spacing w:line="260" w:lineRule="atLeast"/>
      </w:pPr>
      <w:r w:rsidRPr="00CC1378">
        <w:t>The change management strategy should be revisited and updated, as required.</w:t>
      </w:r>
    </w:p>
    <w:p w14:paraId="76E11534" w14:textId="44DB2FB1" w:rsidR="008F4791" w:rsidRDefault="008F4791" w:rsidP="006E4FDB">
      <w:pPr>
        <w:pStyle w:val="Heading3"/>
      </w:pPr>
      <w:r>
        <w:t>Suggested evidence</w:t>
      </w:r>
    </w:p>
    <w:p w14:paraId="527B42FD" w14:textId="086E78C4" w:rsidR="008F4791" w:rsidRDefault="008F4791" w:rsidP="004E60FF">
      <w:pPr>
        <w:spacing w:line="260" w:lineRule="atLeast"/>
      </w:pPr>
      <w:r>
        <w:t xml:space="preserve">Extracts from and </w:t>
      </w:r>
      <w:r w:rsidRPr="008F4791">
        <w:t xml:space="preserve">references to a detailed and realistic Organisational Change Management Plan. </w:t>
      </w:r>
      <w:bookmarkStart w:id="214" w:name="_Toc381131328"/>
      <w:bookmarkStart w:id="215" w:name="_Toc430704079"/>
      <w:bookmarkStart w:id="216" w:name="_Toc431213568"/>
      <w:r w:rsidRPr="00C10CEB">
        <w:t xml:space="preserve">This must reflect </w:t>
      </w:r>
      <w:r>
        <w:t xml:space="preserve">an analysis of impact of change on all relevant groups, </w:t>
      </w:r>
      <w:r w:rsidRPr="00C10CEB">
        <w:t>the specific training and developmental needs of key</w:t>
      </w:r>
      <w:r>
        <w:t xml:space="preserve"> </w:t>
      </w:r>
      <w:r w:rsidRPr="00C10CEB">
        <w:t>groups of personnel</w:t>
      </w:r>
      <w:r>
        <w:t>,</w:t>
      </w:r>
      <w:r w:rsidRPr="00C10CEB">
        <w:t xml:space="preserve"> and any required communication arrangements. It should be signed off</w:t>
      </w:r>
      <w:r w:rsidRPr="00CC1378">
        <w:t xml:space="preserve"> by the stakeholders for the services and indicate customer (end-user) involvement.</w:t>
      </w:r>
    </w:p>
    <w:p w14:paraId="2E6EBE84" w14:textId="233FE3EF" w:rsidR="008F4791" w:rsidRDefault="008F4791" w:rsidP="004E60FF">
      <w:pPr>
        <w:spacing w:line="260" w:lineRule="atLeast"/>
      </w:pPr>
      <w:r w:rsidRPr="00C10CEB">
        <w:t>Te latest version</w:t>
      </w:r>
      <w:r>
        <w:t xml:space="preserve"> of the change management plan must be listed in </w:t>
      </w:r>
      <w:hyperlink w:anchor="_Annex_2:_" w:history="1">
        <w:r w:rsidRPr="008B52AA">
          <w:rPr>
            <w:rStyle w:val="Hyperlink"/>
          </w:rPr>
          <w:t>Annex 2</w:t>
        </w:r>
      </w:hyperlink>
      <w:r w:rsidR="0089769F">
        <w:rPr>
          <w:rStyle w:val="Hyperlink"/>
        </w:rPr>
        <w:t xml:space="preserve"> </w:t>
      </w:r>
      <w:r>
        <w:t>and must be available to reviewers.</w:t>
      </w:r>
      <w:r w:rsidRPr="00C10CEB">
        <w:t xml:space="preserve"> </w:t>
      </w:r>
    </w:p>
    <w:p w14:paraId="3E6AADBB" w14:textId="698F9EF3" w:rsidR="00254BC8" w:rsidRPr="00CC1378" w:rsidRDefault="00254BC8" w:rsidP="006E4FDB">
      <w:pPr>
        <w:pStyle w:val="Heading2"/>
      </w:pPr>
      <w:r w:rsidRPr="00CC1378">
        <w:t>Action 32: Finalise Benefit Management Arrangements</w:t>
      </w:r>
      <w:bookmarkEnd w:id="214"/>
      <w:bookmarkEnd w:id="215"/>
      <w:bookmarkEnd w:id="216"/>
      <w:r w:rsidRPr="00CC1378">
        <w:t xml:space="preserve"> </w:t>
      </w:r>
    </w:p>
    <w:p w14:paraId="1D97A777" w14:textId="77777777" w:rsidR="00254BC8" w:rsidRDefault="00254BC8" w:rsidP="006E4FDB">
      <w:pPr>
        <w:pStyle w:val="Heading3"/>
      </w:pPr>
      <w:r w:rsidRPr="001648B4">
        <w:t>Purpose</w:t>
      </w:r>
    </w:p>
    <w:p w14:paraId="5E005379" w14:textId="77777777" w:rsidR="00254BC8" w:rsidRPr="00CC1378" w:rsidRDefault="00254BC8" w:rsidP="004E60FF">
      <w:pPr>
        <w:spacing w:line="260" w:lineRule="atLeast"/>
        <w:rPr>
          <w:spacing w:val="-3"/>
        </w:rPr>
      </w:pPr>
      <w:r w:rsidRPr="00CC1378">
        <w:rPr>
          <w:spacing w:val="-3"/>
        </w:rPr>
        <w:t>Revisit and update the benefit management arrangements outlined in the previous business case.</w:t>
      </w:r>
      <w:r w:rsidR="00822F8C">
        <w:rPr>
          <w:spacing w:val="-3"/>
        </w:rPr>
        <w:t xml:space="preserve">  This includes updates to reflect any changes arising </w:t>
      </w:r>
      <w:r w:rsidR="007B1DE5">
        <w:rPr>
          <w:spacing w:val="-3"/>
        </w:rPr>
        <w:t xml:space="preserve">from </w:t>
      </w:r>
      <w:r w:rsidR="00822F8C">
        <w:rPr>
          <w:spacing w:val="-3"/>
        </w:rPr>
        <w:t>engagement with the market (ie impact of the agreed solution on the benefits identified in earlier business cases) and from the contracting and negotiating process.</w:t>
      </w:r>
    </w:p>
    <w:p w14:paraId="4D8F4197" w14:textId="77777777" w:rsidR="00254BC8" w:rsidRDefault="00254BC8" w:rsidP="006E4FDB">
      <w:pPr>
        <w:pStyle w:val="Heading3"/>
      </w:pPr>
      <w:r>
        <w:t>What’s expected</w:t>
      </w:r>
    </w:p>
    <w:p w14:paraId="0BD428A2" w14:textId="0C62A636" w:rsidR="00822F8C" w:rsidRDefault="00254BC8" w:rsidP="0087038D">
      <w:pPr>
        <w:spacing w:line="260" w:lineRule="atLeast"/>
        <w:rPr>
          <w:rStyle w:val="Emphasis"/>
          <w:i w:val="0"/>
        </w:rPr>
      </w:pPr>
      <w:r w:rsidRPr="00CC1378">
        <w:t xml:space="preserve">The strategy for the realisation of benefits during the key phases of the project should be revisited and re-affirmed within this Implementation Business Case, including confirmation that the benefits realisation plan is still viable.  </w:t>
      </w:r>
    </w:p>
    <w:p w14:paraId="36D10CEC" w14:textId="2FF8F378" w:rsidR="00254BC8" w:rsidRPr="00CC1378" w:rsidRDefault="00254BC8" w:rsidP="0087038D">
      <w:pPr>
        <w:spacing w:line="260" w:lineRule="atLeast"/>
      </w:pPr>
      <w:r w:rsidRPr="00CC1378">
        <w:t xml:space="preserve">Re-validate the approach to benefits realisation outlined in the benefits realisation plan, developed as part of the previous business case.  The organisation’s plan for the ongoing management and delivery of benefits should be encapsulated within the </w:t>
      </w:r>
      <w:r w:rsidR="00950A2D" w:rsidRPr="00CC1378">
        <w:t>Benefits Realisation Plan</w:t>
      </w:r>
      <w:r w:rsidRPr="00CC1378">
        <w:t xml:space="preserve">. </w:t>
      </w:r>
      <w:r w:rsidR="00950A2D">
        <w:t xml:space="preserve"> </w:t>
      </w:r>
      <w:r w:rsidRPr="00CC1378">
        <w:t>Confirm that identified review times and processes are still appropriate.</w:t>
      </w:r>
    </w:p>
    <w:p w14:paraId="0CE98FE8" w14:textId="4D7AB9AA" w:rsidR="00254BC8" w:rsidRPr="00CC1378" w:rsidRDefault="00464600" w:rsidP="0087038D">
      <w:pPr>
        <w:spacing w:line="260" w:lineRule="atLeast"/>
      </w:pPr>
      <w:r>
        <w:t>Review and</w:t>
      </w:r>
      <w:r w:rsidR="00254BC8" w:rsidRPr="00CC1378">
        <w:t xml:space="preserve"> </w:t>
      </w:r>
      <w:r w:rsidR="008F4791">
        <w:t xml:space="preserve">confirm </w:t>
      </w:r>
      <w:r w:rsidR="00254BC8" w:rsidRPr="00CC1378">
        <w:t xml:space="preserve">that </w:t>
      </w:r>
      <w:r w:rsidR="008F4791">
        <w:t xml:space="preserve">benefit </w:t>
      </w:r>
      <w:r w:rsidR="00254BC8" w:rsidRPr="00CC1378">
        <w:t xml:space="preserve">measurements and metrics are still valid and achievable. </w:t>
      </w:r>
      <w:r w:rsidR="00950A2D">
        <w:t xml:space="preserve"> </w:t>
      </w:r>
    </w:p>
    <w:p w14:paraId="77426668" w14:textId="0FEFC8AE" w:rsidR="00254BC8" w:rsidRDefault="00254BC8" w:rsidP="0087038D">
      <w:pPr>
        <w:spacing w:line="260" w:lineRule="atLeast"/>
        <w:ind w:right="-143"/>
        <w:rPr>
          <w:spacing w:val="-2"/>
        </w:rPr>
      </w:pPr>
      <w:r w:rsidRPr="00CC1378">
        <w:rPr>
          <w:spacing w:val="-2"/>
        </w:rPr>
        <w:t xml:space="preserve">The </w:t>
      </w:r>
      <w:r w:rsidR="00464600">
        <w:rPr>
          <w:spacing w:val="-2"/>
        </w:rPr>
        <w:t>BRP</w:t>
      </w:r>
      <w:r w:rsidRPr="00CC1378">
        <w:rPr>
          <w:spacing w:val="-2"/>
        </w:rPr>
        <w:t xml:space="preserve"> should continue to be used during the implementation and operational phases of the project, for any financial, non-financial and qualitative benefits identified during those phases.</w:t>
      </w:r>
    </w:p>
    <w:p w14:paraId="0F1DFAE8" w14:textId="77777777" w:rsidR="008F4791" w:rsidRDefault="008F4791" w:rsidP="006E4FDB">
      <w:pPr>
        <w:pStyle w:val="Heading3"/>
      </w:pPr>
      <w:r>
        <w:t>Suggested evidence</w:t>
      </w:r>
    </w:p>
    <w:p w14:paraId="6B7B51C3" w14:textId="5406445D" w:rsidR="008F4791" w:rsidRDefault="008F4791" w:rsidP="008F4791">
      <w:pPr>
        <w:spacing w:line="260" w:lineRule="atLeast"/>
      </w:pPr>
      <w:r>
        <w:t xml:space="preserve">By this stage the Benefits Realisation Plan should include details of the </w:t>
      </w:r>
      <w:r w:rsidRPr="00CC1378">
        <w:t>organisation’s plan for the ongoing management</w:t>
      </w:r>
      <w:r w:rsidR="0089769F">
        <w:t>, d</w:t>
      </w:r>
      <w:r w:rsidRPr="00CC1378">
        <w:t xml:space="preserve">elivery </w:t>
      </w:r>
      <w:r w:rsidR="0089769F">
        <w:t xml:space="preserve">and measurement </w:t>
      </w:r>
      <w:r w:rsidRPr="00CC1378">
        <w:t xml:space="preserve">of benefits. </w:t>
      </w:r>
      <w:r>
        <w:t xml:space="preserve"> </w:t>
      </w:r>
    </w:p>
    <w:p w14:paraId="6999110E" w14:textId="562B06A8" w:rsidR="008F4791" w:rsidRPr="008F4791" w:rsidRDefault="008F4791" w:rsidP="008F4791">
      <w:pPr>
        <w:spacing w:after="80" w:line="260" w:lineRule="atLeast"/>
        <w:ind w:right="-142"/>
        <w:rPr>
          <w:spacing w:val="-2"/>
        </w:rPr>
      </w:pPr>
      <w:r w:rsidRPr="008F4791">
        <w:rPr>
          <w:iCs/>
          <w:spacing w:val="-2"/>
        </w:rPr>
        <w:t xml:space="preserve">The detailed, realistic and current Benefits Realisation Plan for dealing with the management and delivery of benefits must be attached as </w:t>
      </w:r>
      <w:hyperlink w:anchor="_Benefits_Realisation_Plan" w:history="1">
        <w:r w:rsidR="0089769F">
          <w:rPr>
            <w:rStyle w:val="Hyperlink"/>
          </w:rPr>
          <w:t>Annex 6</w:t>
        </w:r>
      </w:hyperlink>
      <w:r w:rsidRPr="008F4791">
        <w:rPr>
          <w:iCs/>
          <w:spacing w:val="-2"/>
        </w:rPr>
        <w:t xml:space="preserve">. </w:t>
      </w:r>
      <w:r w:rsidRPr="008F4791">
        <w:rPr>
          <w:spacing w:val="-2"/>
        </w:rPr>
        <w:t>This should include:</w:t>
      </w:r>
    </w:p>
    <w:p w14:paraId="30303A9A" w14:textId="77777777" w:rsidR="008F4791" w:rsidRPr="008F4791" w:rsidRDefault="008F4791" w:rsidP="004E60FF">
      <w:pPr>
        <w:pStyle w:val="Bullet-list"/>
      </w:pPr>
      <w:r w:rsidRPr="008F4791">
        <w:t>All expected benefits, monetary and non-monetary</w:t>
      </w:r>
    </w:p>
    <w:p w14:paraId="4544EABB" w14:textId="77777777" w:rsidR="008F4791" w:rsidRPr="008F4791" w:rsidRDefault="008F4791" w:rsidP="004E60FF">
      <w:pPr>
        <w:pStyle w:val="Bullet-list"/>
      </w:pPr>
      <w:r w:rsidRPr="008F4791">
        <w:t xml:space="preserve">Benefits monitoring and reporting plan including detailed measures </w:t>
      </w:r>
    </w:p>
    <w:p w14:paraId="7FEDD807" w14:textId="77777777" w:rsidR="008F4791" w:rsidRPr="008F4791" w:rsidRDefault="008F4791" w:rsidP="004E60FF">
      <w:pPr>
        <w:pStyle w:val="Bullet-list"/>
      </w:pPr>
      <w:r w:rsidRPr="008F4791">
        <w:t>Signoff/acceptance by Benefits Owners</w:t>
      </w:r>
    </w:p>
    <w:p w14:paraId="62858B69" w14:textId="77777777" w:rsidR="008F4791" w:rsidRPr="008F4791" w:rsidRDefault="008F4791" w:rsidP="004E60FF">
      <w:pPr>
        <w:pStyle w:val="Bullet-list"/>
      </w:pPr>
      <w:r w:rsidRPr="008F4791">
        <w:t>Any changes to arising from the procurement must be identified and addressed</w:t>
      </w:r>
    </w:p>
    <w:p w14:paraId="3842398D" w14:textId="77777777" w:rsidR="008F4791" w:rsidRPr="008F4791" w:rsidRDefault="008F4791" w:rsidP="004E60FF">
      <w:pPr>
        <w:pStyle w:val="Bullet-list"/>
      </w:pPr>
      <w:r w:rsidRPr="008F4791">
        <w:t xml:space="preserve">Benefits profiles for any new/emerging benefits or disbenefits identified as circumstances change. </w:t>
      </w:r>
    </w:p>
    <w:p w14:paraId="64FB2E1F" w14:textId="77777777" w:rsidR="008F4791" w:rsidRPr="00CC1378" w:rsidRDefault="008F4791" w:rsidP="008F4791">
      <w:pPr>
        <w:spacing w:line="260" w:lineRule="atLeast"/>
        <w:ind w:right="-143"/>
        <w:rPr>
          <w:spacing w:val="-2"/>
        </w:rPr>
      </w:pPr>
      <w:r>
        <w:rPr>
          <w:spacing w:val="-2"/>
        </w:rPr>
        <w:t>Each benefit must be assigned to a Benefit Owner and their agreement to responsibility for achieving the benefits must be recorded in the BRP.</w:t>
      </w:r>
    </w:p>
    <w:p w14:paraId="1DEC3E90" w14:textId="18A86FDA" w:rsidR="008F4791" w:rsidRDefault="008F4791" w:rsidP="008F4791">
      <w:pPr>
        <w:spacing w:line="260" w:lineRule="atLeast"/>
      </w:pPr>
      <w:r w:rsidRPr="00CC1378">
        <w:t>The</w:t>
      </w:r>
      <w:r>
        <w:t xml:space="preserve">re should be an overall </w:t>
      </w:r>
      <w:r w:rsidRPr="00CC1378">
        <w:t xml:space="preserve">owner of the benefits </w:t>
      </w:r>
      <w:r>
        <w:t xml:space="preserve">realisation plan </w:t>
      </w:r>
      <w:r w:rsidRPr="008F4791">
        <w:t>with responsibility for oversight of benefit tracking and reporting and for gathering information from benefits owners during the implementation phase.</w:t>
      </w:r>
      <w:r w:rsidRPr="00CC1378">
        <w:t>.</w:t>
      </w:r>
      <w:r>
        <w:t xml:space="preserve"> </w:t>
      </w:r>
      <w:r w:rsidRPr="00CC1378">
        <w:t xml:space="preserve"> </w:t>
      </w:r>
      <w:r>
        <w:t>This person must be identified and their rep</w:t>
      </w:r>
      <w:r w:rsidRPr="00CC1378">
        <w:t>orting relationship to the Senior Responsible Owner</w:t>
      </w:r>
      <w:r>
        <w:t xml:space="preserve"> during the implementation phase shown</w:t>
      </w:r>
      <w:r w:rsidRPr="00CC1378">
        <w:t xml:space="preserve">. </w:t>
      </w:r>
    </w:p>
    <w:p w14:paraId="76959B88" w14:textId="77777777" w:rsidR="00254BC8" w:rsidRPr="00CC1378" w:rsidRDefault="00254BC8" w:rsidP="006E4FDB">
      <w:pPr>
        <w:pStyle w:val="Heading2"/>
      </w:pPr>
      <w:bookmarkStart w:id="217" w:name="_Toc381131329"/>
      <w:bookmarkStart w:id="218" w:name="_Toc430704080"/>
      <w:bookmarkStart w:id="219" w:name="_Toc431213569"/>
      <w:r w:rsidRPr="00CC1378">
        <w:t xml:space="preserve">Action 33: Finalise Risk </w:t>
      </w:r>
      <w:r w:rsidR="005F68E9">
        <w:t xml:space="preserve">and Contract </w:t>
      </w:r>
      <w:r w:rsidRPr="00CC1378">
        <w:t>Management Arrangements</w:t>
      </w:r>
      <w:bookmarkEnd w:id="217"/>
      <w:bookmarkEnd w:id="218"/>
      <w:bookmarkEnd w:id="219"/>
      <w:r w:rsidRPr="00CC1378">
        <w:t xml:space="preserve"> </w:t>
      </w:r>
    </w:p>
    <w:p w14:paraId="647CB5A0" w14:textId="77777777" w:rsidR="00C064BB" w:rsidRPr="00C064BB" w:rsidRDefault="00C064BB" w:rsidP="006E4FDB">
      <w:pPr>
        <w:pStyle w:val="Heading3"/>
      </w:pPr>
      <w:r>
        <w:t>Finalise Risk Management Arrangements</w:t>
      </w:r>
    </w:p>
    <w:p w14:paraId="1F50B9D5" w14:textId="77777777" w:rsidR="00254BC8" w:rsidRDefault="00254BC8" w:rsidP="006E4FDB">
      <w:pPr>
        <w:pStyle w:val="Heading3"/>
      </w:pPr>
      <w:r>
        <w:t>Purpose</w:t>
      </w:r>
    </w:p>
    <w:p w14:paraId="76F5D9C5" w14:textId="77777777" w:rsidR="00254BC8" w:rsidRPr="00CC1378" w:rsidRDefault="00254BC8" w:rsidP="0087038D">
      <w:pPr>
        <w:spacing w:line="260" w:lineRule="atLeast"/>
      </w:pPr>
      <w:r w:rsidRPr="00CC1378">
        <w:t xml:space="preserve">Revisit and update the risk management arrangements outlined in the previous business case. </w:t>
      </w:r>
      <w:r w:rsidR="00950A2D">
        <w:t xml:space="preserve"> </w:t>
      </w:r>
      <w:r w:rsidRPr="00CC1378">
        <w:t>The strategy for the management of risks during the key phases of the pro</w:t>
      </w:r>
      <w:r w:rsidR="00950A2D">
        <w:t>ject should be revisited and re</w:t>
      </w:r>
      <w:r w:rsidRPr="00CC1378">
        <w:t>affirmed within the Implementation Business Case.</w:t>
      </w:r>
    </w:p>
    <w:p w14:paraId="50B06003" w14:textId="77777777" w:rsidR="00254BC8" w:rsidRDefault="00254BC8" w:rsidP="006E4FDB">
      <w:pPr>
        <w:pStyle w:val="Heading3"/>
        <w:rPr>
          <w:w w:val="90"/>
        </w:rPr>
      </w:pPr>
      <w:r>
        <w:rPr>
          <w:w w:val="90"/>
        </w:rPr>
        <w:t>What’s expected?</w:t>
      </w:r>
    </w:p>
    <w:p w14:paraId="19604043" w14:textId="77777777" w:rsidR="00254BC8" w:rsidRPr="00832BD6" w:rsidRDefault="00254BC8" w:rsidP="0087038D">
      <w:pPr>
        <w:pStyle w:val="Heading4"/>
        <w:spacing w:line="260" w:lineRule="atLeast"/>
      </w:pPr>
      <w:r w:rsidRPr="00832BD6">
        <w:t>The risk register</w:t>
      </w:r>
    </w:p>
    <w:p w14:paraId="1C8E16C5" w14:textId="77777777" w:rsidR="00254BC8" w:rsidRPr="00CC1378" w:rsidRDefault="00254BC8" w:rsidP="0087038D">
      <w:pPr>
        <w:spacing w:line="260" w:lineRule="atLeast"/>
      </w:pPr>
      <w:r w:rsidRPr="00CC1378">
        <w:t xml:space="preserve">The organisation’s plan for the </w:t>
      </w:r>
      <w:r w:rsidR="00950A2D">
        <w:t>ongoing</w:t>
      </w:r>
      <w:r w:rsidRPr="00CC1378">
        <w:t xml:space="preserve"> mitigation and management of risk should be </w:t>
      </w:r>
      <w:r w:rsidR="00950A2D">
        <w:t>documented in</w:t>
      </w:r>
      <w:r w:rsidRPr="00CC1378">
        <w:t xml:space="preserve"> the risk register, which must be completed in full and </w:t>
      </w:r>
      <w:r w:rsidR="00950A2D">
        <w:t xml:space="preserve">the current version </w:t>
      </w:r>
      <w:r w:rsidRPr="00CC1378">
        <w:t xml:space="preserve">attached to the Implementation Business Case. </w:t>
      </w:r>
      <w:r w:rsidR="00950A2D">
        <w:t xml:space="preserve"> </w:t>
      </w:r>
      <w:r w:rsidRPr="00CC1378">
        <w:t>The register should cover all the business and service risks identified during the design, build, implementation, operational and re-procurement phase (if applicable) of the project.</w:t>
      </w:r>
    </w:p>
    <w:p w14:paraId="7944396A" w14:textId="29FBBA27" w:rsidR="0089769F" w:rsidRDefault="0089769F" w:rsidP="0087038D">
      <w:pPr>
        <w:spacing w:line="260" w:lineRule="atLeast"/>
      </w:pPr>
      <w:r w:rsidRPr="0089769F">
        <w:t xml:space="preserve">Register should include both agency and supplier-side risks and should cover the full project life-cycle, not simply the current stage - not just around short-term project delivery but broader impacts; benefits, business change, procurement, workforce, migration. </w:t>
      </w:r>
      <w:r>
        <w:t xml:space="preserve"> </w:t>
      </w:r>
      <w:r w:rsidRPr="0089769F">
        <w:t>The register should include risk ownership, categorisation, current status, review date</w:t>
      </w:r>
      <w:r>
        <w:t>(s)</w:t>
      </w:r>
      <w:r w:rsidRPr="0089769F">
        <w:t>, required treatments</w:t>
      </w:r>
      <w:r>
        <w:t xml:space="preserve">, triggers </w:t>
      </w:r>
      <w:r w:rsidRPr="0089769F">
        <w:t>and timeframes for action, consequences of risk and residual risk after treatment.</w:t>
      </w:r>
    </w:p>
    <w:p w14:paraId="7B3F3B28" w14:textId="7DB1A062" w:rsidR="0089769F" w:rsidRPr="00CC1378" w:rsidRDefault="0089769F" w:rsidP="0087038D">
      <w:pPr>
        <w:spacing w:line="260" w:lineRule="atLeast"/>
      </w:pPr>
      <w:r w:rsidRPr="00CC1378">
        <w:t xml:space="preserve">The owner of the risk register </w:t>
      </w:r>
      <w:r>
        <w:t xml:space="preserve">must be </w:t>
      </w:r>
      <w:r w:rsidRPr="00CC1378">
        <w:t>named</w:t>
      </w:r>
      <w:r>
        <w:t>, and an owner identified for each risk.</w:t>
      </w:r>
      <w:r w:rsidRPr="00CC1378">
        <w:t xml:space="preserve"> </w:t>
      </w:r>
      <w:r>
        <w:t xml:space="preserve"> </w:t>
      </w:r>
      <w:r w:rsidRPr="00CC1378">
        <w:t>Confirm that the risk register will be reviewed regularly and form part of th</w:t>
      </w:r>
      <w:r>
        <w:t xml:space="preserve">e standing agenda at all </w:t>
      </w:r>
      <w:r w:rsidRPr="00CC1378">
        <w:t>project management board and/or risk management board meetings.</w:t>
      </w:r>
    </w:p>
    <w:p w14:paraId="0628776B" w14:textId="77777777" w:rsidR="0089769F" w:rsidRDefault="0089769F" w:rsidP="006E4FDB">
      <w:pPr>
        <w:pStyle w:val="Heading3"/>
      </w:pPr>
      <w:r>
        <w:t>Suggested evidence</w:t>
      </w:r>
    </w:p>
    <w:p w14:paraId="1C5E4A7D" w14:textId="4C93EE64" w:rsidR="0089769F" w:rsidRDefault="0089769F" w:rsidP="0089769F">
      <w:pPr>
        <w:spacing w:line="260" w:lineRule="atLeast"/>
      </w:pPr>
      <w:r>
        <w:t xml:space="preserve">There must be a </w:t>
      </w:r>
      <w:r w:rsidRPr="0089769F">
        <w:t>completed, detailed and realistic Risk Register and Risk Management Framework</w:t>
      </w:r>
      <w:r>
        <w:t xml:space="preserve">, which is regularly and frequently reviewed and updated.  These must be listed in </w:t>
      </w:r>
      <w:hyperlink w:anchor="_Annex_2:_" w:history="1">
        <w:r w:rsidRPr="008B52AA">
          <w:rPr>
            <w:rStyle w:val="Hyperlink"/>
          </w:rPr>
          <w:t>Annex 2</w:t>
        </w:r>
      </w:hyperlink>
      <w:r>
        <w:t xml:space="preserve"> and must be available to reviewers on request.</w:t>
      </w:r>
      <w:r w:rsidRPr="00C10CEB">
        <w:t xml:space="preserve"> </w:t>
      </w:r>
    </w:p>
    <w:p w14:paraId="7EB76037" w14:textId="77777777" w:rsidR="0089769F" w:rsidRPr="00CC1378" w:rsidRDefault="0089769F" w:rsidP="0089769F">
      <w:pPr>
        <w:spacing w:line="260" w:lineRule="atLeast"/>
      </w:pPr>
      <w:r w:rsidRPr="00CC1378">
        <w:t>Confirm that the risk register will be reviewed regularly and form part of th</w:t>
      </w:r>
      <w:r>
        <w:t xml:space="preserve">e standing agenda at all </w:t>
      </w:r>
      <w:r w:rsidRPr="00CC1378">
        <w:t>project management board and/or risk management board meetings.</w:t>
      </w:r>
    </w:p>
    <w:p w14:paraId="5E495B5A" w14:textId="072002C7" w:rsidR="0089769F" w:rsidRDefault="0089769F" w:rsidP="0089769F">
      <w:pPr>
        <w:spacing w:line="260" w:lineRule="atLeast"/>
      </w:pPr>
      <w:r>
        <w:t xml:space="preserve">Top 20 current risks must be listed in </w:t>
      </w:r>
      <w:hyperlink w:anchor="_Annex_6:_Top" w:history="1">
        <w:r>
          <w:rPr>
            <w:rStyle w:val="Hyperlink"/>
          </w:rPr>
          <w:t>Annex 7</w:t>
        </w:r>
      </w:hyperlink>
      <w:r w:rsidRPr="0089769F">
        <w:t>.  T</w:t>
      </w:r>
      <w:r>
        <w:t>h</w:t>
      </w:r>
      <w:r w:rsidRPr="0089769F">
        <w:t>is</w:t>
      </w:r>
      <w:r>
        <w:t xml:space="preserve"> should be a printout/extract from the active risk register</w:t>
      </w:r>
    </w:p>
    <w:p w14:paraId="6B37C346" w14:textId="77777777" w:rsidR="00254BC8" w:rsidRPr="00CC1378" w:rsidRDefault="00254BC8" w:rsidP="006E4FDB">
      <w:pPr>
        <w:pStyle w:val="Heading3"/>
      </w:pPr>
      <w:bookmarkStart w:id="220" w:name="_Toc381131330"/>
      <w:bookmarkStart w:id="221" w:name="_Toc430704081"/>
      <w:bookmarkStart w:id="222" w:name="_Toc431213570"/>
      <w:r w:rsidRPr="00CC1378">
        <w:t>Finalise Contract Arrangements</w:t>
      </w:r>
      <w:bookmarkEnd w:id="220"/>
      <w:bookmarkEnd w:id="221"/>
      <w:bookmarkEnd w:id="222"/>
      <w:r w:rsidRPr="00CC1378">
        <w:t xml:space="preserve"> </w:t>
      </w:r>
    </w:p>
    <w:p w14:paraId="554B5335" w14:textId="77777777" w:rsidR="00254BC8" w:rsidRDefault="00254BC8" w:rsidP="006E4FDB">
      <w:pPr>
        <w:pStyle w:val="Heading3"/>
      </w:pPr>
      <w:r>
        <w:t xml:space="preserve">Purpose </w:t>
      </w:r>
    </w:p>
    <w:p w14:paraId="79D17041" w14:textId="7AE12624" w:rsidR="0089769F" w:rsidRPr="0089769F" w:rsidRDefault="00254BC8" w:rsidP="004E60FF">
      <w:r w:rsidRPr="00CC1378">
        <w:t xml:space="preserve">Outline the formal and informal arrangements which need to be in place to successfully manage </w:t>
      </w:r>
      <w:r>
        <w:t>the selected supplier</w:t>
      </w:r>
      <w:r w:rsidRPr="00CC1378">
        <w:t>.</w:t>
      </w:r>
      <w:r w:rsidR="00107DE4">
        <w:t xml:space="preserve"> </w:t>
      </w:r>
      <w:r w:rsidR="00337B09">
        <w:t xml:space="preserve"> Reference the </w:t>
      </w:r>
      <w:r w:rsidR="00107DE4">
        <w:t xml:space="preserve">detailed Contract Management plan </w:t>
      </w:r>
      <w:r w:rsidR="00337B09">
        <w:t>(or equivalent document).</w:t>
      </w:r>
    </w:p>
    <w:p w14:paraId="0B19BE26" w14:textId="288462DD" w:rsidR="00254BC8" w:rsidRDefault="00254BC8" w:rsidP="006E4FDB">
      <w:pPr>
        <w:pStyle w:val="Heading3"/>
      </w:pPr>
      <w:r>
        <w:t>What’s expected?</w:t>
      </w:r>
    </w:p>
    <w:p w14:paraId="6981FCBC" w14:textId="77777777" w:rsidR="00337B09" w:rsidRDefault="00337B09" w:rsidP="0089769F">
      <w:pPr>
        <w:rPr>
          <w:color w:val="000000"/>
        </w:rPr>
      </w:pPr>
      <w:r>
        <w:rPr>
          <w:color w:val="000000"/>
        </w:rPr>
        <w:t>Refer to and follow the guidance provided around procurement by:</w:t>
      </w:r>
    </w:p>
    <w:p w14:paraId="603ECEB8" w14:textId="55D1B7B8" w:rsidR="00337B09" w:rsidRPr="00337B09" w:rsidRDefault="00337B09" w:rsidP="004E60FF">
      <w:pPr>
        <w:pStyle w:val="Bullet-list"/>
        <w:rPr>
          <w:color w:val="000000"/>
        </w:rPr>
      </w:pPr>
      <w:r w:rsidRPr="00337B09">
        <w:rPr>
          <w:color w:val="000000"/>
        </w:rPr>
        <w:t xml:space="preserve">MBIE </w:t>
      </w:r>
      <w:r w:rsidRPr="00337B09">
        <w:t>procurement</w:t>
      </w:r>
      <w:r w:rsidRPr="00337B09">
        <w:rPr>
          <w:color w:val="000000"/>
        </w:rPr>
        <w:t xml:space="preserve"> </w:t>
      </w:r>
      <w:hyperlink r:id="rId45" w:history="1">
        <w:r w:rsidRPr="00337B09">
          <w:rPr>
            <w:rStyle w:val="Hyperlink"/>
          </w:rPr>
          <w:t>www.procurement.govt.nz/</w:t>
        </w:r>
      </w:hyperlink>
    </w:p>
    <w:p w14:paraId="5FF9762E" w14:textId="0A6062DE" w:rsidR="00337B09" w:rsidRPr="00337B09" w:rsidRDefault="00337B09" w:rsidP="004E60FF">
      <w:pPr>
        <w:pStyle w:val="Bullet-list"/>
        <w:rPr>
          <w:color w:val="000000"/>
        </w:rPr>
      </w:pPr>
      <w:r w:rsidRPr="00337B09">
        <w:t>Infrastructure</w:t>
      </w:r>
      <w:r w:rsidRPr="00337B09">
        <w:rPr>
          <w:color w:val="000000"/>
        </w:rPr>
        <w:t xml:space="preserve"> Commission Te Waihanga </w:t>
      </w:r>
      <w:hyperlink r:id="rId46" w:history="1">
        <w:r w:rsidRPr="00337B09">
          <w:rPr>
            <w:rStyle w:val="Hyperlink"/>
          </w:rPr>
          <w:t>www.infracom.govt.nz</w:t>
        </w:r>
      </w:hyperlink>
    </w:p>
    <w:p w14:paraId="7059DF1A" w14:textId="2DA64D8A" w:rsidR="0089769F" w:rsidRPr="00337B09" w:rsidRDefault="0089769F" w:rsidP="004E60FF">
      <w:pPr>
        <w:pStyle w:val="Bullet-list"/>
      </w:pPr>
      <w:r w:rsidRPr="00337B09">
        <w:rPr>
          <w:color w:val="000000"/>
        </w:rPr>
        <w:t xml:space="preserve">Digital Public </w:t>
      </w:r>
      <w:r w:rsidRPr="00337B09">
        <w:t>Service</w:t>
      </w:r>
      <w:r w:rsidRPr="00337B09">
        <w:rPr>
          <w:color w:val="000000"/>
        </w:rPr>
        <w:t xml:space="preserve"> Branch </w:t>
      </w:r>
      <w:hyperlink r:id="rId47" w:history="1">
        <w:r w:rsidRPr="00337B09">
          <w:rPr>
            <w:rStyle w:val="Hyperlink"/>
          </w:rPr>
          <w:t>www.digital.govt.nz</w:t>
        </w:r>
      </w:hyperlink>
    </w:p>
    <w:p w14:paraId="6B8F153C" w14:textId="15727396" w:rsidR="00337B09" w:rsidRPr="00337B09" w:rsidRDefault="00337B09" w:rsidP="004E60FF">
      <w:r w:rsidRPr="00337B09">
        <w:t xml:space="preserve">For a major project, </w:t>
      </w:r>
      <w:r>
        <w:t>there should be a</w:t>
      </w:r>
      <w:r w:rsidRPr="00337B09">
        <w:t xml:space="preserve"> dedicated Contract Manager (or a team if needed) with relevant experience</w:t>
      </w:r>
      <w:r>
        <w:t>.</w:t>
      </w:r>
    </w:p>
    <w:p w14:paraId="39CBC6B2" w14:textId="03CA19B3" w:rsidR="0089769F" w:rsidRPr="00832BD6" w:rsidRDefault="0089769F" w:rsidP="0089769F">
      <w:pPr>
        <w:pStyle w:val="Heading4"/>
        <w:spacing w:line="260" w:lineRule="atLeast"/>
      </w:pPr>
      <w:r w:rsidRPr="00832BD6">
        <w:t>Contingency plan</w:t>
      </w:r>
    </w:p>
    <w:p w14:paraId="59926FDB" w14:textId="7F6857DE" w:rsidR="0089769F" w:rsidRDefault="0089769F" w:rsidP="004E60FF">
      <w:r w:rsidRPr="00CC1378">
        <w:t>Provide details of any contingency plans in the event of non-delivery of the contracted services.</w:t>
      </w:r>
    </w:p>
    <w:p w14:paraId="6890D10D" w14:textId="77777777" w:rsidR="00337B09" w:rsidRDefault="00337B09" w:rsidP="006E4FDB">
      <w:pPr>
        <w:pStyle w:val="Heading3"/>
      </w:pPr>
      <w:r>
        <w:t>Suggested evidence</w:t>
      </w:r>
    </w:p>
    <w:p w14:paraId="26069E63" w14:textId="77E85629" w:rsidR="00337B09" w:rsidRPr="0089769F" w:rsidRDefault="00337B09" w:rsidP="004E60FF">
      <w:pPr>
        <w:rPr>
          <w:szCs w:val="22"/>
        </w:rPr>
      </w:pPr>
      <w:r>
        <w:t xml:space="preserve">There must be a Contract Management Plan (or equivalent document) listed in </w:t>
      </w:r>
      <w:hyperlink w:anchor="_Annex_2:_" w:history="1">
        <w:r w:rsidRPr="008B52AA">
          <w:rPr>
            <w:rStyle w:val="Hyperlink"/>
          </w:rPr>
          <w:t>Annex 2</w:t>
        </w:r>
      </w:hyperlink>
      <w:r>
        <w:t xml:space="preserve"> and  available to reviewers on request. This plan should </w:t>
      </w:r>
      <w:r w:rsidRPr="0089769F">
        <w:t xml:space="preserve">include information and management processes and </w:t>
      </w:r>
      <w:r w:rsidRPr="0089769F">
        <w:rPr>
          <w:szCs w:val="22"/>
        </w:rPr>
        <w:t>procedures for</w:t>
      </w:r>
      <w:r>
        <w:rPr>
          <w:szCs w:val="22"/>
        </w:rPr>
        <w:t>:</w:t>
      </w:r>
    </w:p>
    <w:p w14:paraId="66F6FC2D" w14:textId="77777777" w:rsidR="00337B09" w:rsidRPr="0089769F" w:rsidRDefault="00337B09" w:rsidP="004E60FF">
      <w:pPr>
        <w:pStyle w:val="Bullet-list"/>
      </w:pPr>
      <w:bookmarkStart w:id="223" w:name="_Hlk50115765"/>
      <w:r w:rsidRPr="0089769F">
        <w:t>Roles and responsibilities</w:t>
      </w:r>
    </w:p>
    <w:p w14:paraId="2C353DBD" w14:textId="77777777" w:rsidR="00337B09" w:rsidRPr="0089769F" w:rsidRDefault="00337B09" w:rsidP="004E60FF">
      <w:pPr>
        <w:pStyle w:val="Bullet-list"/>
      </w:pPr>
      <w:r w:rsidRPr="0089769F">
        <w:t>Summary of payment/charging mechanisms</w:t>
      </w:r>
    </w:p>
    <w:p w14:paraId="118E4B03" w14:textId="77777777" w:rsidR="00337B09" w:rsidRPr="0089769F" w:rsidRDefault="00337B09" w:rsidP="004E60FF">
      <w:pPr>
        <w:pStyle w:val="Bullet-list"/>
      </w:pPr>
      <w:r w:rsidRPr="0089769F">
        <w:t>variation and escalation procedures</w:t>
      </w:r>
    </w:p>
    <w:p w14:paraId="1AE07348" w14:textId="77777777" w:rsidR="00337B09" w:rsidRPr="0089769F" w:rsidRDefault="00337B09" w:rsidP="004E60FF">
      <w:pPr>
        <w:pStyle w:val="Bullet-list"/>
      </w:pPr>
      <w:r w:rsidRPr="0089769F">
        <w:t>contingency plans including processes to enact penalty clauses/remedies in the event of non-delivery</w:t>
      </w:r>
    </w:p>
    <w:p w14:paraId="2FB345AF" w14:textId="77777777" w:rsidR="00337B09" w:rsidRPr="0089769F" w:rsidRDefault="00337B09" w:rsidP="004E60FF">
      <w:pPr>
        <w:pStyle w:val="Bullet-list"/>
      </w:pPr>
      <w:r w:rsidRPr="0089769F">
        <w:t>Treatment of intellectual property rights</w:t>
      </w:r>
    </w:p>
    <w:p w14:paraId="0B850AB7" w14:textId="77777777" w:rsidR="00337B09" w:rsidRPr="0089769F" w:rsidRDefault="00337B09" w:rsidP="004E60FF">
      <w:pPr>
        <w:pStyle w:val="Bullet-list"/>
      </w:pPr>
      <w:r w:rsidRPr="0089769F">
        <w:t>Dispute arrangements including management of escalation and processes to enact penalty clauses in the event of non-delivery</w:t>
      </w:r>
    </w:p>
    <w:p w14:paraId="09F8D48B" w14:textId="77777777" w:rsidR="00337B09" w:rsidRPr="0089769F" w:rsidRDefault="00337B09" w:rsidP="004E60FF">
      <w:pPr>
        <w:pStyle w:val="Bullet-list"/>
      </w:pPr>
      <w:r w:rsidRPr="0089769F">
        <w:t>Allocation of risk</w:t>
      </w:r>
    </w:p>
    <w:p w14:paraId="29FE859B" w14:textId="77777777" w:rsidR="00337B09" w:rsidRPr="0089769F" w:rsidRDefault="00337B09" w:rsidP="004E60FF">
      <w:pPr>
        <w:pStyle w:val="Bullet-list"/>
      </w:pPr>
      <w:r w:rsidRPr="0089769F">
        <w:t xml:space="preserve">Operational and contract administration </w:t>
      </w:r>
      <w:proofErr w:type="spellStart"/>
      <w:r w:rsidRPr="0089769F">
        <w:t>Ts&amp;Cs</w:t>
      </w:r>
      <w:proofErr w:type="spellEnd"/>
    </w:p>
    <w:p w14:paraId="24584C20" w14:textId="77777777" w:rsidR="00337B09" w:rsidRPr="0089769F" w:rsidRDefault="00337B09" w:rsidP="004E60FF">
      <w:pPr>
        <w:pStyle w:val="Bullet-list"/>
      </w:pPr>
      <w:r w:rsidRPr="0089769F">
        <w:t>Options at end of contract</w:t>
      </w:r>
      <w:bookmarkEnd w:id="223"/>
      <w:r>
        <w:t>.</w:t>
      </w:r>
    </w:p>
    <w:p w14:paraId="293198F2" w14:textId="77777777" w:rsidR="00254BC8" w:rsidRPr="00CC1378" w:rsidRDefault="00254BC8" w:rsidP="006E4FDB">
      <w:pPr>
        <w:pStyle w:val="Heading2"/>
      </w:pPr>
      <w:bookmarkStart w:id="224" w:name="_Toc381131331"/>
      <w:bookmarkStart w:id="225" w:name="_Toc430704082"/>
      <w:bookmarkStart w:id="226" w:name="_Toc431213571"/>
      <w:r w:rsidRPr="00CC1378">
        <w:t>Action 3</w:t>
      </w:r>
      <w:r>
        <w:t>4</w:t>
      </w:r>
      <w:r w:rsidRPr="00CC1378">
        <w:t xml:space="preserve">: Finalise </w:t>
      </w:r>
      <w:r>
        <w:t xml:space="preserve">Assurance and </w:t>
      </w:r>
      <w:r w:rsidRPr="00CC1378">
        <w:t>Post</w:t>
      </w:r>
      <w:r>
        <w:t>-p</w:t>
      </w:r>
      <w:r w:rsidRPr="00CC1378">
        <w:t>roject Arrangements</w:t>
      </w:r>
      <w:bookmarkEnd w:id="224"/>
      <w:bookmarkEnd w:id="225"/>
      <w:bookmarkEnd w:id="226"/>
    </w:p>
    <w:p w14:paraId="6EC54FC2" w14:textId="77777777" w:rsidR="00254BC8" w:rsidRDefault="00254BC8" w:rsidP="006E4FDB">
      <w:pPr>
        <w:pStyle w:val="Heading3"/>
      </w:pPr>
      <w:r>
        <w:t>Purpose</w:t>
      </w:r>
    </w:p>
    <w:p w14:paraId="2291A922" w14:textId="77777777" w:rsidR="00254BC8" w:rsidRPr="00CC1378" w:rsidRDefault="00254BC8" w:rsidP="004E60FF">
      <w:r w:rsidRPr="00CC1378">
        <w:t>Revisit and update the post</w:t>
      </w:r>
      <w:r w:rsidR="00950A2D">
        <w:t>-</w:t>
      </w:r>
      <w:r w:rsidRPr="00CC1378">
        <w:t>project evaluation arrangements outlined in the previous business case.</w:t>
      </w:r>
    </w:p>
    <w:p w14:paraId="6FD97E86" w14:textId="4662D5A3" w:rsidR="00254BC8" w:rsidRPr="004E60FF" w:rsidRDefault="00254BC8" w:rsidP="004E60F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Project Assurance</w:t>
      </w:r>
    </w:p>
    <w:p w14:paraId="05D7CC93"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rStyle w:val="Emphasis"/>
          <w:i w:val="0"/>
          <w:color w:val="000000"/>
        </w:rPr>
        <w:t xml:space="preserve">Gateway Peer Reviews are mandated for significant programmes and projects in organisations in scope for Cabinet Office Circular </w:t>
      </w:r>
      <w:proofErr w:type="gramStart"/>
      <w:r w:rsidRPr="004E60FF">
        <w:rPr>
          <w:rStyle w:val="Emphasis"/>
          <w:i w:val="0"/>
          <w:color w:val="000000"/>
        </w:rPr>
        <w:t>CO(</w:t>
      </w:r>
      <w:proofErr w:type="gramEnd"/>
      <w:r w:rsidRPr="004E60FF">
        <w:rPr>
          <w:rStyle w:val="Emphasis"/>
          <w:i w:val="0"/>
          <w:color w:val="000000"/>
        </w:rPr>
        <w:t>19)</w:t>
      </w:r>
      <w:r w:rsidR="00CA4AEF" w:rsidRPr="004E60FF">
        <w:rPr>
          <w:rStyle w:val="Emphasis"/>
          <w:i w:val="0"/>
          <w:color w:val="000000"/>
        </w:rPr>
        <w:t>6</w:t>
      </w:r>
      <w:r w:rsidR="00107DE4" w:rsidRPr="00993F59">
        <w:rPr>
          <w:rStyle w:val="FootnoteReference"/>
          <w:iCs/>
          <w:sz w:val="20"/>
          <w:vertAlign w:val="superscript"/>
        </w:rPr>
        <w:footnoteReference w:id="12"/>
      </w:r>
      <w:r w:rsidRPr="004E60FF">
        <w:rPr>
          <w:rStyle w:val="Emphasis"/>
          <w:i w:val="0"/>
          <w:color w:val="000000"/>
        </w:rPr>
        <w:t xml:space="preserve"> which have been assessed as High Risk (through completion and review of a</w:t>
      </w:r>
      <w:r w:rsidRPr="004E60FF">
        <w:rPr>
          <w:rStyle w:val="Emphasis"/>
        </w:rPr>
        <w:t xml:space="preserve"> </w:t>
      </w:r>
      <w:hyperlink r:id="rId48" w:history="1">
        <w:r w:rsidRPr="004E60FF">
          <w:rPr>
            <w:rStyle w:val="Hyperlink"/>
            <w:sz w:val="20"/>
          </w:rPr>
          <w:t>Risk Profile Assessment</w:t>
        </w:r>
      </w:hyperlink>
      <w:r w:rsidRPr="004E60FF">
        <w:rPr>
          <w:rStyle w:val="Emphasis"/>
          <w:i w:val="0"/>
          <w:color w:val="000000"/>
        </w:rPr>
        <w:t>).</w:t>
      </w:r>
    </w:p>
    <w:p w14:paraId="3AFD4134"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Project assurance provides independent and impartial assessment that the project’s investment objectives can be delivered successfully, and improves the prospects of achieving intended outcomes and benefits.</w:t>
      </w:r>
    </w:p>
    <w:p w14:paraId="20BB3B4A"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 xml:space="preserve">These projects also require an Operational &amp; Benefits Realisation review, and must report to Cabinet on the achievement of benefits one year after go-live (refer </w:t>
      </w:r>
      <w:proofErr w:type="gramStart"/>
      <w:r w:rsidRPr="004E60FF">
        <w:rPr>
          <w:sz w:val="20"/>
        </w:rPr>
        <w:t>CO(</w:t>
      </w:r>
      <w:proofErr w:type="gramEnd"/>
      <w:r w:rsidRPr="004E60FF">
        <w:rPr>
          <w:sz w:val="20"/>
        </w:rPr>
        <w:t>19)6).</w:t>
      </w:r>
    </w:p>
    <w:p w14:paraId="49DE3FBA" w14:textId="77777777" w:rsidR="00254BC8" w:rsidRPr="004E60FF" w:rsidRDefault="00254BC8" w:rsidP="004E60F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Quality Assurance</w:t>
      </w:r>
    </w:p>
    <w:p w14:paraId="6E3FA519"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Other forms of assurance include: Independent Quality Assurance; Independent Technical Assurance; security assurance.</w:t>
      </w:r>
    </w:p>
    <w:p w14:paraId="1AADAAD1" w14:textId="25E1A2BF"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 xml:space="preserve">ICT-enabled projects must develop an Assurance Plan; high risk projects must provide this to the </w:t>
      </w:r>
      <w:r w:rsidR="00E9330A" w:rsidRPr="004E60FF">
        <w:rPr>
          <w:sz w:val="20"/>
        </w:rPr>
        <w:t xml:space="preserve">Digital Public Service Branch in the Department of Internal Affairs (under the </w:t>
      </w:r>
      <w:r w:rsidRPr="004E60FF">
        <w:rPr>
          <w:sz w:val="20"/>
        </w:rPr>
        <w:t>Government Chief Digital Officer (GCDO)</w:t>
      </w:r>
      <w:r w:rsidR="00E9330A" w:rsidRPr="004E60FF">
        <w:rPr>
          <w:sz w:val="20"/>
        </w:rPr>
        <w:t>)</w:t>
      </w:r>
      <w:r w:rsidRPr="004E60FF">
        <w:rPr>
          <w:sz w:val="20"/>
        </w:rPr>
        <w:t xml:space="preserve">. </w:t>
      </w:r>
    </w:p>
    <w:p w14:paraId="137EDBC9" w14:textId="77777777" w:rsidR="00254BC8" w:rsidRPr="004E60FF" w:rsidRDefault="00254BC8" w:rsidP="004E60FF">
      <w:pPr>
        <w:numPr>
          <w:ilvl w:val="0"/>
          <w:numId w:val="23"/>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rStyle w:val="Hyperlink"/>
          <w:color w:val="auto"/>
          <w:sz w:val="20"/>
          <w:u w:val="none"/>
        </w:rPr>
      </w:pPr>
      <w:r w:rsidRPr="004E60FF">
        <w:rPr>
          <w:sz w:val="20"/>
        </w:rPr>
        <w:t xml:space="preserve">Engage with the </w:t>
      </w:r>
      <w:r w:rsidR="00E9330A" w:rsidRPr="004E60FF">
        <w:rPr>
          <w:sz w:val="20"/>
        </w:rPr>
        <w:t xml:space="preserve">DPS Branch </w:t>
      </w:r>
      <w:r w:rsidRPr="004E60FF">
        <w:rPr>
          <w:sz w:val="20"/>
        </w:rPr>
        <w:t xml:space="preserve">early to ensure that the project meets its requirements in terms of assurance: </w:t>
      </w:r>
      <w:hyperlink r:id="rId49" w:history="1">
        <w:r w:rsidRPr="004E60FF">
          <w:rPr>
            <w:rStyle w:val="Hyperlink"/>
            <w:sz w:val="20"/>
          </w:rPr>
          <w:t>GCDO@dia.govt.nz</w:t>
        </w:r>
      </w:hyperlink>
      <w:r w:rsidRPr="004E60FF">
        <w:rPr>
          <w:rStyle w:val="Hyperlink"/>
          <w:sz w:val="20"/>
        </w:rPr>
        <w:t xml:space="preserve"> </w:t>
      </w:r>
    </w:p>
    <w:p w14:paraId="04C268EB" w14:textId="77777777" w:rsidR="00254BC8" w:rsidRPr="004E60FF" w:rsidRDefault="00254BC8" w:rsidP="004E60FF">
      <w:pPr>
        <w:pStyle w:val="Heading4"/>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sz w:val="20"/>
        </w:rPr>
      </w:pPr>
      <w:r w:rsidRPr="004E60FF">
        <w:rPr>
          <w:sz w:val="20"/>
        </w:rPr>
        <w:t xml:space="preserve">Post project evaluation </w:t>
      </w:r>
    </w:p>
    <w:p w14:paraId="313FAA02"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80" w:line="260" w:lineRule="atLeast"/>
        <w:rPr>
          <w:sz w:val="20"/>
        </w:rPr>
      </w:pPr>
      <w:r w:rsidRPr="004E60FF">
        <w:rPr>
          <w:sz w:val="20"/>
        </w:rPr>
        <w:t>Three to six months after the in-service date, a post-project evaluation should be held.  Considerations include:</w:t>
      </w:r>
    </w:p>
    <w:p w14:paraId="7269CFC3" w14:textId="77777777" w:rsidR="00254BC8" w:rsidRPr="004E60FF" w:rsidRDefault="00254BC8" w:rsidP="004E60FF">
      <w:pPr>
        <w:numPr>
          <w:ilvl w:val="0"/>
          <w:numId w:val="23"/>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80" w:line="260" w:lineRule="atLeast"/>
        <w:ind w:left="425" w:hanging="425"/>
        <w:rPr>
          <w:sz w:val="20"/>
        </w:rPr>
      </w:pPr>
      <w:r w:rsidRPr="004E60FF">
        <w:rPr>
          <w:sz w:val="20"/>
        </w:rPr>
        <w:t xml:space="preserve">Were the objectives of the project met?  Were there any unexpected outcomes or issues? </w:t>
      </w:r>
    </w:p>
    <w:p w14:paraId="60545F27" w14:textId="77777777" w:rsidR="00254BC8" w:rsidRPr="004E60FF" w:rsidRDefault="00254BC8" w:rsidP="004E60FF">
      <w:pPr>
        <w:numPr>
          <w:ilvl w:val="0"/>
          <w:numId w:val="23"/>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80" w:line="260" w:lineRule="atLeast"/>
        <w:ind w:left="425" w:hanging="425"/>
        <w:rPr>
          <w:sz w:val="20"/>
        </w:rPr>
      </w:pPr>
      <w:r w:rsidRPr="004E60FF">
        <w:rPr>
          <w:sz w:val="20"/>
        </w:rPr>
        <w:t xml:space="preserve">How well did the project meet key stakeholders needs? </w:t>
      </w:r>
    </w:p>
    <w:p w14:paraId="1FD349FD" w14:textId="77777777" w:rsidR="00254BC8" w:rsidRPr="004E60FF" w:rsidRDefault="00254BC8" w:rsidP="004E60FF">
      <w:pPr>
        <w:numPr>
          <w:ilvl w:val="0"/>
          <w:numId w:val="23"/>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80" w:line="260" w:lineRule="atLeast"/>
        <w:ind w:left="425" w:hanging="425"/>
        <w:rPr>
          <w:sz w:val="20"/>
        </w:rPr>
      </w:pPr>
      <w:r w:rsidRPr="004E60FF">
        <w:rPr>
          <w:sz w:val="20"/>
        </w:rPr>
        <w:t xml:space="preserve">Were the critical success factors achieved? </w:t>
      </w:r>
    </w:p>
    <w:p w14:paraId="07CA3B31" w14:textId="77777777" w:rsidR="00254BC8" w:rsidRPr="004E60FF" w:rsidRDefault="00254BC8" w:rsidP="004E60FF">
      <w:pPr>
        <w:numPr>
          <w:ilvl w:val="0"/>
          <w:numId w:val="23"/>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sz w:val="20"/>
        </w:rPr>
      </w:pPr>
      <w:r w:rsidRPr="004E60FF">
        <w:rPr>
          <w:sz w:val="20"/>
        </w:rPr>
        <w:t>What were the key organisational lessons learned post-implementation?</w:t>
      </w:r>
    </w:p>
    <w:p w14:paraId="744D76D4" w14:textId="77777777" w:rsidR="00254BC8" w:rsidRPr="004E60FF" w:rsidRDefault="00254BC8" w:rsidP="004E60FF">
      <w:p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rPr>
          <w:color w:val="000000"/>
          <w:sz w:val="20"/>
        </w:rPr>
      </w:pPr>
      <w:r w:rsidRPr="004E60FF">
        <w:rPr>
          <w:color w:val="000000"/>
          <w:sz w:val="20"/>
        </w:rPr>
        <w:t>F</w:t>
      </w:r>
      <w:r w:rsidRPr="004E60FF">
        <w:rPr>
          <w:sz w:val="20"/>
        </w:rPr>
        <w:t>or</w:t>
      </w:r>
      <w:r w:rsidRPr="004E60FF">
        <w:rPr>
          <w:color w:val="000000"/>
          <w:sz w:val="20"/>
        </w:rPr>
        <w:t xml:space="preserve"> any Cabinet-approved investment, unless otherwise agreed by Cabinet, </w:t>
      </w:r>
      <w:proofErr w:type="gramStart"/>
      <w:r w:rsidRPr="004E60FF">
        <w:rPr>
          <w:sz w:val="20"/>
        </w:rPr>
        <w:t>CO(</w:t>
      </w:r>
      <w:proofErr w:type="gramEnd"/>
      <w:r w:rsidRPr="004E60FF">
        <w:rPr>
          <w:sz w:val="20"/>
        </w:rPr>
        <w:t xml:space="preserve">19)6 requires that </w:t>
      </w:r>
      <w:r w:rsidRPr="004E60FF">
        <w:rPr>
          <w:color w:val="000000"/>
          <w:sz w:val="20"/>
        </w:rPr>
        <w:t>agencies:</w:t>
      </w:r>
    </w:p>
    <w:p w14:paraId="5AD48D6A" w14:textId="77777777" w:rsidR="00254BC8" w:rsidRPr="004E60FF" w:rsidRDefault="00254BC8" w:rsidP="004E60FF">
      <w:pPr>
        <w:numPr>
          <w:ilvl w:val="0"/>
          <w:numId w:val="24"/>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line="260" w:lineRule="atLeast"/>
        <w:ind w:left="425" w:hanging="425"/>
        <w:rPr>
          <w:color w:val="000000"/>
          <w:sz w:val="20"/>
        </w:rPr>
      </w:pPr>
      <w:proofErr w:type="gramStart"/>
      <w:r w:rsidRPr="004E60FF">
        <w:rPr>
          <w:color w:val="000000"/>
          <w:sz w:val="20"/>
        </w:rPr>
        <w:t>report</w:t>
      </w:r>
      <w:proofErr w:type="gramEnd"/>
      <w:r w:rsidRPr="004E60FF">
        <w:rPr>
          <w:color w:val="000000"/>
          <w:sz w:val="20"/>
        </w:rPr>
        <w:t xml:space="preserve"> back to Cabinet within 12 months after the in-service date on the actual level of benefits achieved compared with those outlined in the Cabinet-approved investment</w:t>
      </w:r>
      <w:r w:rsidR="00950A2D" w:rsidRPr="004E60FF">
        <w:rPr>
          <w:color w:val="000000"/>
          <w:sz w:val="20"/>
        </w:rPr>
        <w:t>.</w:t>
      </w:r>
    </w:p>
    <w:p w14:paraId="2E04FD22" w14:textId="315C2449" w:rsidR="00A62219" w:rsidRPr="004E60FF" w:rsidRDefault="00254BC8" w:rsidP="004E60FF">
      <w:pPr>
        <w:numPr>
          <w:ilvl w:val="0"/>
          <w:numId w:val="24"/>
        </w:numPr>
        <w:pBdr>
          <w:top w:val="single" w:sz="4" w:space="4" w:color="FFFFFF" w:themeColor="background1"/>
          <w:left w:val="single" w:sz="4" w:space="4" w:color="FFFFFF" w:themeColor="background1"/>
          <w:bottom w:val="single" w:sz="4" w:space="8" w:color="FFFFFF" w:themeColor="background1"/>
          <w:right w:val="single" w:sz="4" w:space="4" w:color="FFFFFF" w:themeColor="background1"/>
        </w:pBdr>
        <w:shd w:val="clear" w:color="auto" w:fill="DEEAF5"/>
        <w:spacing w:after="0" w:line="260" w:lineRule="atLeast"/>
        <w:ind w:left="425" w:hanging="425"/>
        <w:rPr>
          <w:sz w:val="20"/>
        </w:rPr>
      </w:pPr>
      <w:proofErr w:type="gramStart"/>
      <w:r w:rsidRPr="004E60FF">
        <w:rPr>
          <w:color w:val="000000"/>
          <w:sz w:val="20"/>
        </w:rPr>
        <w:t>provide</w:t>
      </w:r>
      <w:proofErr w:type="gramEnd"/>
      <w:r w:rsidRPr="004E60FF">
        <w:rPr>
          <w:color w:val="000000"/>
          <w:sz w:val="20"/>
        </w:rPr>
        <w:t xml:space="preserve"> information to Treasury at agreed intervals on the actual level of benefits achieved compared with those outlined in any significant investment</w:t>
      </w:r>
      <w:r w:rsidR="00950A2D" w:rsidRPr="004E60FF">
        <w:rPr>
          <w:color w:val="000000"/>
          <w:sz w:val="20"/>
        </w:rPr>
        <w:t>.</w:t>
      </w:r>
    </w:p>
    <w:p w14:paraId="66ED9CDD" w14:textId="77777777" w:rsidR="00337B09" w:rsidRDefault="00337B09" w:rsidP="006E4FDB">
      <w:pPr>
        <w:pStyle w:val="Heading3"/>
      </w:pPr>
      <w:r>
        <w:t>What’s expected?</w:t>
      </w:r>
    </w:p>
    <w:p w14:paraId="3972DE3B" w14:textId="77777777" w:rsidR="00337B09" w:rsidRDefault="00337B09" w:rsidP="00337B09">
      <w:pPr>
        <w:spacing w:after="0" w:line="260" w:lineRule="atLeast"/>
      </w:pPr>
      <w:r w:rsidRPr="00CC1378">
        <w:t>The Implementation Business Case record</w:t>
      </w:r>
      <w:r>
        <w:t>s</w:t>
      </w:r>
      <w:r w:rsidRPr="00CC1378">
        <w:t xml:space="preserve"> the arrangements for post-project evaluation.</w:t>
      </w:r>
      <w:r>
        <w:t xml:space="preserve"> </w:t>
      </w:r>
      <w:r w:rsidRPr="00CC1378">
        <w:t xml:space="preserve"> </w:t>
      </w:r>
    </w:p>
    <w:p w14:paraId="4D5CD81B" w14:textId="77777777" w:rsidR="00337B09" w:rsidRDefault="00337B09" w:rsidP="00337B09">
      <w:pPr>
        <w:pStyle w:val="Heading4"/>
        <w:spacing w:line="260" w:lineRule="atLeast"/>
      </w:pPr>
      <w:r>
        <w:t>Quality Plan</w:t>
      </w:r>
    </w:p>
    <w:p w14:paraId="7DDB6B48" w14:textId="4F654C75" w:rsidR="00337B09" w:rsidRDefault="00337B09" w:rsidP="00337B09">
      <w:pPr>
        <w:spacing w:after="0" w:line="260" w:lineRule="atLeast"/>
      </w:pPr>
      <w:r>
        <w:t>The initiative should include processes to ensure the quality of its products.  This may include robust quality processes (</w:t>
      </w:r>
      <w:proofErr w:type="spellStart"/>
      <w:r>
        <w:t>eg</w:t>
      </w:r>
      <w:proofErr w:type="spellEnd"/>
      <w:r>
        <w:t xml:space="preserve"> Pair programming in projects using an agile delivery methodology), quality reviews with formal signoff, Technical Quality Assurance or other mechanisms.</w:t>
      </w:r>
    </w:p>
    <w:p w14:paraId="21A40086" w14:textId="77777777" w:rsidR="00337B09" w:rsidRDefault="00337B09" w:rsidP="006E4FDB">
      <w:pPr>
        <w:pStyle w:val="Heading3"/>
      </w:pPr>
      <w:r>
        <w:t>Suggested evidence</w:t>
      </w:r>
    </w:p>
    <w:p w14:paraId="47A920E6" w14:textId="52C9458A" w:rsidR="00337B09" w:rsidRDefault="00337B09" w:rsidP="00337B09">
      <w:pPr>
        <w:spacing w:line="260" w:lineRule="atLeast"/>
      </w:pPr>
      <w:r>
        <w:t xml:space="preserve">The initiatives quality management plan should be listed in </w:t>
      </w:r>
      <w:hyperlink w:anchor="_Annex_2:_" w:history="1">
        <w:r w:rsidRPr="008B52AA">
          <w:rPr>
            <w:rStyle w:val="Hyperlink"/>
          </w:rPr>
          <w:t>Annex 2</w:t>
        </w:r>
      </w:hyperlink>
      <w:r>
        <w:rPr>
          <w:rStyle w:val="Hyperlink"/>
        </w:rPr>
        <w:t xml:space="preserve"> </w:t>
      </w:r>
      <w:r>
        <w:t>and available to reviewers on request.</w:t>
      </w:r>
    </w:p>
    <w:p w14:paraId="46F7E3D8" w14:textId="1A998FC8" w:rsidR="00337B09" w:rsidRDefault="00337B09" w:rsidP="00337B09">
      <w:pPr>
        <w:spacing w:line="260" w:lineRule="atLeast"/>
      </w:pPr>
      <w:r>
        <w:t xml:space="preserve">For a high-risk ICT projects, there must be an Assurance Plan, listed in </w:t>
      </w:r>
      <w:hyperlink w:anchor="_Annex_2:_" w:history="1">
        <w:r w:rsidRPr="008B52AA">
          <w:rPr>
            <w:rStyle w:val="Hyperlink"/>
          </w:rPr>
          <w:t>Annex 2</w:t>
        </w:r>
      </w:hyperlink>
      <w:r>
        <w:rPr>
          <w:rStyle w:val="Hyperlink"/>
        </w:rPr>
        <w:t xml:space="preserve"> </w:t>
      </w:r>
      <w:r>
        <w:t>and available to reviewers on request.</w:t>
      </w:r>
    </w:p>
    <w:p w14:paraId="389F9C87" w14:textId="53F2EDEF" w:rsidR="00337B09" w:rsidRDefault="00337B09" w:rsidP="00337B09">
      <w:pPr>
        <w:spacing w:line="260" w:lineRule="atLeast"/>
      </w:pPr>
      <w:r>
        <w:t>There must be s</w:t>
      </w:r>
      <w:r w:rsidRPr="00337B09">
        <w:t>tatements</w:t>
      </w:r>
      <w:r>
        <w:t xml:space="preserve"> of the project’s assurance requirements including commitment to </w:t>
      </w:r>
      <w:r w:rsidRPr="00337B09">
        <w:t>Gateway</w:t>
      </w:r>
      <w:r>
        <w:t xml:space="preserve"> Reviews</w:t>
      </w:r>
      <w:r w:rsidRPr="00337B09">
        <w:t>, Ben</w:t>
      </w:r>
      <w:r>
        <w:t xml:space="preserve">efits &amp; Operational Reviews and </w:t>
      </w:r>
      <w:r w:rsidRPr="00337B09">
        <w:t>Cabinet report-back (</w:t>
      </w:r>
      <w:r>
        <w:t xml:space="preserve">all </w:t>
      </w:r>
      <w:r w:rsidRPr="00337B09">
        <w:t xml:space="preserve">mandatory for High risk projects) </w:t>
      </w:r>
      <w:r>
        <w:t xml:space="preserve">as required.  These activities must also </w:t>
      </w:r>
      <w:r w:rsidRPr="00337B09">
        <w:t>be documented in the Project Management Plan and shown in the schedule.</w:t>
      </w:r>
    </w:p>
    <w:p w14:paraId="2806ADA9" w14:textId="330E4EF5" w:rsidR="009F328C" w:rsidRPr="00584A3E" w:rsidRDefault="009F328C" w:rsidP="0087038D">
      <w:pPr>
        <w:spacing w:line="260" w:lineRule="atLeast"/>
        <w:rPr>
          <w:rStyle w:val="Hyperlink"/>
        </w:rPr>
      </w:pPr>
      <w:r>
        <w:fldChar w:fldCharType="begin"/>
      </w:r>
      <w:r>
        <w:instrText>HYPERLINK  \l "_Management_Case_–"</w:instrText>
      </w:r>
      <w:r>
        <w:fldChar w:fldCharType="separate"/>
      </w:r>
      <w:r w:rsidRPr="00584A3E">
        <w:rPr>
          <w:rStyle w:val="Hyperlink"/>
        </w:rPr>
        <w:t>&lt;</w:t>
      </w:r>
      <w:proofErr w:type="gramStart"/>
      <w:r w:rsidRPr="00584A3E">
        <w:rPr>
          <w:rStyle w:val="Hyperlink"/>
        </w:rPr>
        <w:t>back</w:t>
      </w:r>
      <w:proofErr w:type="gramEnd"/>
      <w:r w:rsidRPr="00584A3E">
        <w:rPr>
          <w:rStyle w:val="Hyperlink"/>
        </w:rPr>
        <w:t xml:space="preserve"> to template</w:t>
      </w:r>
      <w:r>
        <w:rPr>
          <w:rStyle w:val="Hyperlink"/>
        </w:rPr>
        <w:t xml:space="preserve"> – Management Case</w:t>
      </w:r>
      <w:r w:rsidRPr="00584A3E">
        <w:rPr>
          <w:rStyle w:val="Hyperlink"/>
        </w:rPr>
        <w:t>&gt;</w:t>
      </w:r>
    </w:p>
    <w:bookmarkStart w:id="227" w:name="_The_Chief_Executive’s_1"/>
    <w:bookmarkEnd w:id="227"/>
    <w:p w14:paraId="234100B1" w14:textId="77777777" w:rsidR="00254BC8" w:rsidRPr="00CC1378" w:rsidRDefault="009F328C" w:rsidP="006E4FDB">
      <w:pPr>
        <w:pStyle w:val="Heading2"/>
      </w:pPr>
      <w:r>
        <w:fldChar w:fldCharType="end"/>
      </w:r>
      <w:bookmarkStart w:id="228" w:name="_The_Chief_Executive’s"/>
      <w:bookmarkStart w:id="229" w:name="_Toc430704083"/>
      <w:bookmarkStart w:id="230" w:name="_Toc431213572"/>
      <w:bookmarkEnd w:id="228"/>
      <w:r w:rsidR="00254BC8" w:rsidRPr="00CC1378">
        <w:t xml:space="preserve">The </w:t>
      </w:r>
      <w:proofErr w:type="gramStart"/>
      <w:r w:rsidR="00C155A3" w:rsidRPr="009220D0">
        <w:rPr>
          <w:highlight w:val="yellow"/>
        </w:rPr>
        <w:t>Commissioner</w:t>
      </w:r>
      <w:r w:rsidR="009220D0" w:rsidRPr="009220D0">
        <w:rPr>
          <w:highlight w:val="yellow"/>
        </w:rPr>
        <w:t>(</w:t>
      </w:r>
      <w:proofErr w:type="gramEnd"/>
      <w:r w:rsidR="00C155A3" w:rsidRPr="009220D0">
        <w:rPr>
          <w:highlight w:val="yellow"/>
        </w:rPr>
        <w:t>’s</w:t>
      </w:r>
      <w:r w:rsidR="009220D0" w:rsidRPr="009220D0">
        <w:rPr>
          <w:highlight w:val="yellow"/>
        </w:rPr>
        <w:t>/s’)</w:t>
      </w:r>
      <w:r w:rsidR="00C155A3" w:rsidRPr="009220D0">
        <w:rPr>
          <w:highlight w:val="yellow"/>
        </w:rPr>
        <w:t xml:space="preserve"> (</w:t>
      </w:r>
      <w:r w:rsidR="00254BC8" w:rsidRPr="009220D0">
        <w:rPr>
          <w:highlight w:val="yellow"/>
        </w:rPr>
        <w:t>Chief Executive’s</w:t>
      </w:r>
      <w:r w:rsidR="00C155A3" w:rsidRPr="009220D0">
        <w:rPr>
          <w:highlight w:val="yellow"/>
        </w:rPr>
        <w:t>)</w:t>
      </w:r>
      <w:r w:rsidR="00254BC8" w:rsidRPr="00CC1378">
        <w:t xml:space="preserve"> Statement</w:t>
      </w:r>
      <w:bookmarkEnd w:id="229"/>
      <w:bookmarkEnd w:id="230"/>
    </w:p>
    <w:p w14:paraId="0FC4470B" w14:textId="7D5359D2" w:rsidR="00254BC8" w:rsidRPr="00CC1378" w:rsidRDefault="00254BC8" w:rsidP="0087038D">
      <w:pPr>
        <w:spacing w:line="260" w:lineRule="atLeast"/>
        <w:rPr>
          <w:spacing w:val="-2"/>
        </w:rPr>
      </w:pPr>
      <w:r w:rsidRPr="00CC1378">
        <w:rPr>
          <w:spacing w:val="-2"/>
        </w:rPr>
        <w:t xml:space="preserve">Where approval of the Implementation Business Case is sought, a letter should be provided by the </w:t>
      </w:r>
      <w:r w:rsidR="0087038D">
        <w:t>commissioner(s)</w:t>
      </w:r>
      <w:r>
        <w:t xml:space="preserve"> </w:t>
      </w:r>
      <w:r w:rsidRPr="00CC1378">
        <w:rPr>
          <w:spacing w:val="-2"/>
        </w:rPr>
        <w:t xml:space="preserve">of the </w:t>
      </w:r>
      <w:r w:rsidR="00822F8C">
        <w:rPr>
          <w:spacing w:val="-2"/>
        </w:rPr>
        <w:t xml:space="preserve">proposal and be included as </w:t>
      </w:r>
      <w:hyperlink w:anchor="_Annex_1:_Commissioner’s" w:history="1">
        <w:r w:rsidR="00822F8C" w:rsidRPr="00464600">
          <w:rPr>
            <w:rStyle w:val="Hyperlink"/>
            <w:spacing w:val="-2"/>
          </w:rPr>
          <w:t>A</w:t>
        </w:r>
        <w:r w:rsidRPr="00464600">
          <w:rPr>
            <w:rStyle w:val="Hyperlink"/>
            <w:spacing w:val="-2"/>
          </w:rPr>
          <w:t>nnex</w:t>
        </w:r>
        <w:r w:rsidR="006318EA" w:rsidRPr="00464600">
          <w:rPr>
            <w:rStyle w:val="Hyperlink"/>
            <w:spacing w:val="-2"/>
          </w:rPr>
          <w:t xml:space="preserve"> 1</w:t>
        </w:r>
      </w:hyperlink>
      <w:r w:rsidRPr="00CC1378">
        <w:rPr>
          <w:spacing w:val="-2"/>
        </w:rPr>
        <w:t xml:space="preserve">. </w:t>
      </w:r>
      <w:r w:rsidR="00464600">
        <w:rPr>
          <w:spacing w:val="-2"/>
        </w:rPr>
        <w:t xml:space="preserve"> </w:t>
      </w:r>
      <w:r w:rsidRPr="00CC1378">
        <w:rPr>
          <w:spacing w:val="-2"/>
        </w:rPr>
        <w:t xml:space="preserve">Where external approval is being sought, the commissioner should be </w:t>
      </w:r>
      <w:r w:rsidR="0087038D">
        <w:rPr>
          <w:spacing w:val="-2"/>
        </w:rPr>
        <w:t>th</w:t>
      </w:r>
      <w:r w:rsidR="00464600" w:rsidRPr="00CC1378">
        <w:rPr>
          <w:spacing w:val="-2"/>
        </w:rPr>
        <w:t xml:space="preserve">e Chief Executive </w:t>
      </w:r>
      <w:r w:rsidRPr="00CC1378">
        <w:rPr>
          <w:spacing w:val="-2"/>
        </w:rPr>
        <w:t xml:space="preserve">to ensure that accountability sits at the appropriate level of organisation. </w:t>
      </w:r>
      <w:r w:rsidR="00464600">
        <w:rPr>
          <w:spacing w:val="-2"/>
        </w:rPr>
        <w:t xml:space="preserve"> </w:t>
      </w:r>
      <w:r w:rsidRPr="00CC1378">
        <w:rPr>
          <w:spacing w:val="-2"/>
        </w:rPr>
        <w:t>Typically this requires a</w:t>
      </w:r>
      <w:r w:rsidR="0087038D">
        <w:rPr>
          <w:spacing w:val="-2"/>
        </w:rPr>
        <w:t>n early</w:t>
      </w:r>
      <w:r w:rsidRPr="00CC1378">
        <w:rPr>
          <w:spacing w:val="-2"/>
        </w:rPr>
        <w:t xml:space="preserve"> discussion with the </w:t>
      </w:r>
      <w:r w:rsidR="0087038D">
        <w:rPr>
          <w:spacing w:val="-2"/>
        </w:rPr>
        <w:t xml:space="preserve">Treasury Vote </w:t>
      </w:r>
      <w:r w:rsidR="0087038D" w:rsidRPr="00CC1378">
        <w:rPr>
          <w:spacing w:val="-2"/>
        </w:rPr>
        <w:t xml:space="preserve">team </w:t>
      </w:r>
      <w:r w:rsidR="0087038D">
        <w:rPr>
          <w:spacing w:val="-2"/>
        </w:rPr>
        <w:t xml:space="preserve">and (any) </w:t>
      </w:r>
      <w:r w:rsidRPr="00CC1378">
        <w:rPr>
          <w:spacing w:val="-2"/>
        </w:rPr>
        <w:t xml:space="preserve">appropriate monitoring agency and is documented in the relevant </w:t>
      </w:r>
      <w:hyperlink r:id="rId50" w:history="1">
        <w:r w:rsidR="007B1DE5">
          <w:rPr>
            <w:rStyle w:val="Hyperlink"/>
            <w:szCs w:val="22"/>
          </w:rPr>
          <w:t>Business Case Scoping Document</w:t>
        </w:r>
      </w:hyperlink>
      <w:r w:rsidRPr="00CC1378">
        <w:rPr>
          <w:spacing w:val="-2"/>
        </w:rPr>
        <w:t>.</w:t>
      </w:r>
    </w:p>
    <w:p w14:paraId="77E62212" w14:textId="77777777" w:rsidR="00254BC8" w:rsidRPr="00CC1378" w:rsidRDefault="00254BC8" w:rsidP="0087038D">
      <w:pPr>
        <w:spacing w:after="60" w:line="260" w:lineRule="atLeast"/>
      </w:pPr>
      <w:r w:rsidRPr="00CC1378">
        <w:t>This statement should:</w:t>
      </w:r>
    </w:p>
    <w:p w14:paraId="52B60BC4" w14:textId="77777777" w:rsidR="00254BC8" w:rsidRPr="00CC1378" w:rsidRDefault="00254BC8" w:rsidP="00AE143F">
      <w:pPr>
        <w:numPr>
          <w:ilvl w:val="0"/>
          <w:numId w:val="5"/>
        </w:numPr>
        <w:spacing w:line="260" w:lineRule="atLeast"/>
        <w:ind w:left="425" w:hanging="425"/>
      </w:pPr>
      <w:r w:rsidRPr="00CC1378">
        <w:t xml:space="preserve">demonstrate that the </w:t>
      </w:r>
      <w:r>
        <w:t xml:space="preserve">Chief Executive </w:t>
      </w:r>
      <w:r w:rsidRPr="00CC1378">
        <w:t>has been actively involved in the development of the investment proposal through its various stages</w:t>
      </w:r>
    </w:p>
    <w:p w14:paraId="2CEE4887" w14:textId="77777777" w:rsidR="00254BC8" w:rsidRPr="00CC1378" w:rsidRDefault="00254BC8" w:rsidP="00AE143F">
      <w:pPr>
        <w:numPr>
          <w:ilvl w:val="0"/>
          <w:numId w:val="5"/>
        </w:numPr>
        <w:spacing w:line="260" w:lineRule="atLeast"/>
        <w:ind w:left="425" w:hanging="425"/>
      </w:pPr>
      <w:r w:rsidRPr="00CC1378">
        <w:t>confirm acceptance of the strategic aims and investment objectives of the investment proposal, its functional content, size and services</w:t>
      </w:r>
    </w:p>
    <w:p w14:paraId="4C613337" w14:textId="77777777" w:rsidR="00254BC8" w:rsidRPr="00CC1378" w:rsidRDefault="00254BC8" w:rsidP="00AE143F">
      <w:pPr>
        <w:numPr>
          <w:ilvl w:val="0"/>
          <w:numId w:val="5"/>
        </w:numPr>
        <w:spacing w:line="260" w:lineRule="atLeast"/>
        <w:ind w:left="425" w:hanging="425"/>
      </w:pPr>
      <w:r w:rsidRPr="00CC1378">
        <w:t>confirm that the financial costs of the proposal can be contained within the agreed and available budget and a willingness and ability to pay for the services at the specified price level</w:t>
      </w:r>
    </w:p>
    <w:p w14:paraId="47F6AC75" w14:textId="606329E7" w:rsidR="00254BC8" w:rsidRPr="00CC1378" w:rsidRDefault="00254BC8" w:rsidP="00AE143F">
      <w:pPr>
        <w:numPr>
          <w:ilvl w:val="0"/>
          <w:numId w:val="5"/>
        </w:numPr>
        <w:spacing w:line="260" w:lineRule="atLeast"/>
        <w:ind w:left="425" w:hanging="425"/>
      </w:pPr>
      <w:r w:rsidRPr="00CC1378">
        <w:t>state the margins of leeway beyond which support must be revalidated</w:t>
      </w:r>
    </w:p>
    <w:p w14:paraId="5D42D86C" w14:textId="77777777" w:rsidR="00254BC8" w:rsidRDefault="00254BC8" w:rsidP="00AE143F">
      <w:pPr>
        <w:numPr>
          <w:ilvl w:val="0"/>
          <w:numId w:val="5"/>
        </w:numPr>
        <w:spacing w:line="260" w:lineRule="atLeast"/>
        <w:ind w:left="425" w:hanging="425"/>
      </w:pPr>
      <w:r w:rsidRPr="00CC1378">
        <w:t>demonstrate that suitable contingency arrangements are in place to work with suppliers to address any current or unfo</w:t>
      </w:r>
      <w:r w:rsidR="009F328C">
        <w:t>r</w:t>
      </w:r>
      <w:r w:rsidRPr="00CC1378">
        <w:t xml:space="preserve">eseen affordability pressures. </w:t>
      </w:r>
    </w:p>
    <w:p w14:paraId="687591DB" w14:textId="77777777" w:rsidR="009F328C" w:rsidRDefault="00993F59" w:rsidP="0087038D">
      <w:pPr>
        <w:spacing w:after="240" w:line="260" w:lineRule="atLeast"/>
      </w:pPr>
      <w:hyperlink w:anchor="_Overall_affordability" w:history="1">
        <w:r w:rsidR="00C064BB">
          <w:rPr>
            <w:rStyle w:val="Hyperlink"/>
          </w:rPr>
          <w:t>&lt;back to template - CE statement in Financial Case&gt;</w:t>
        </w:r>
      </w:hyperlink>
      <w:r w:rsidR="009F328C">
        <w:t xml:space="preserve"> &gt;</w:t>
      </w:r>
    </w:p>
    <w:p w14:paraId="01696A9C" w14:textId="77777777" w:rsidR="00254BC8" w:rsidRPr="00CC1378" w:rsidRDefault="00254BC8" w:rsidP="00584A3E">
      <w:pPr>
        <w:spacing w:after="240"/>
      </w:pPr>
    </w:p>
    <w:p w14:paraId="442B934D" w14:textId="77777777" w:rsidR="00254BC8" w:rsidRDefault="00254BC8" w:rsidP="00254BC8">
      <w:pPr>
        <w:sectPr w:rsidR="00254BC8" w:rsidSect="00D21B7F">
          <w:headerReference w:type="even" r:id="rId51"/>
          <w:headerReference w:type="default" r:id="rId52"/>
          <w:footerReference w:type="even" r:id="rId53"/>
          <w:footerReference w:type="default" r:id="rId54"/>
          <w:footerReference w:type="first" r:id="rId55"/>
          <w:pgSz w:w="11907" w:h="16840" w:code="9"/>
          <w:pgMar w:top="1276" w:right="1418" w:bottom="992" w:left="1418" w:header="454" w:footer="454" w:gutter="0"/>
          <w:cols w:space="720"/>
          <w:docGrid w:linePitch="360"/>
        </w:sectPr>
      </w:pPr>
    </w:p>
    <w:bookmarkStart w:id="231" w:name="_Annex_1:_The"/>
    <w:bookmarkStart w:id="232" w:name="_Toc428475269"/>
    <w:bookmarkStart w:id="233" w:name="_Toc5882575"/>
    <w:bookmarkStart w:id="234" w:name="_Toc30769069"/>
    <w:bookmarkStart w:id="235" w:name="_Toc50549014"/>
    <w:bookmarkEnd w:id="231"/>
    <w:p w14:paraId="56BEC664" w14:textId="78742D02" w:rsidR="00254BC8" w:rsidRDefault="00552B6B" w:rsidP="006E4FDB">
      <w:pPr>
        <w:pStyle w:val="Heading1"/>
      </w:pPr>
      <w:r>
        <w:rPr>
          <w:noProof/>
          <w:lang w:val="en-NZ" w:eastAsia="en-NZ"/>
        </w:rPr>
        <mc:AlternateContent>
          <mc:Choice Requires="wps">
            <w:drawing>
              <wp:anchor distT="0" distB="0" distL="114300" distR="114300" simplePos="0" relativeHeight="251657728" behindDoc="0" locked="0" layoutInCell="1" allowOverlap="1" wp14:anchorId="29A2BCC7" wp14:editId="05064C02">
                <wp:simplePos x="0" y="0"/>
                <wp:positionH relativeFrom="column">
                  <wp:posOffset>6946265</wp:posOffset>
                </wp:positionH>
                <wp:positionV relativeFrom="paragraph">
                  <wp:posOffset>368935</wp:posOffset>
                </wp:positionV>
                <wp:extent cx="2228850" cy="5939155"/>
                <wp:effectExtent l="21590" t="25400" r="26035" b="2667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93915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DCD91C7" id="Oval 2" o:spid="_x0000_s1026" style="position:absolute;margin-left:546.95pt;margin-top:29.05pt;width:175.5pt;height:4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" filled="f" strokecolor="red" strokeweight="3pt"/>
            </w:pict>
          </mc:Fallback>
        </mc:AlternateContent>
      </w:r>
      <w:r w:rsidR="00514B31">
        <w:t>Annex 1</w:t>
      </w:r>
      <w:r w:rsidR="00C76C03" w:rsidRPr="00D17BFC">
        <w:t xml:space="preserve">: The 34 Better Business </w:t>
      </w:r>
      <w:proofErr w:type="spellStart"/>
      <w:r w:rsidR="00C76C03" w:rsidRPr="00D17BFC">
        <w:t>Cases</w:t>
      </w:r>
      <w:r w:rsidR="00C76C03" w:rsidRPr="00D17BFC">
        <w:rPr>
          <w:szCs w:val="28"/>
          <w:vertAlign w:val="superscript"/>
        </w:rPr>
        <w:t>TM</w:t>
      </w:r>
      <w:proofErr w:type="spellEnd"/>
      <w:r w:rsidR="00C76C03" w:rsidRPr="00D17BFC">
        <w:t xml:space="preserve"> actions</w:t>
      </w:r>
      <w:bookmarkEnd w:id="232"/>
      <w:bookmarkEnd w:id="233"/>
      <w:bookmarkEnd w:id="234"/>
      <w:bookmarkEnd w:id="235"/>
    </w:p>
    <w:p w14:paraId="6FCDD253" w14:textId="58098F67" w:rsidR="00C76C03" w:rsidRPr="00C76C03" w:rsidRDefault="00552B6B" w:rsidP="00514B31">
      <w:pPr>
        <w:ind w:left="567"/>
        <w:rPr>
          <w:noProof/>
          <w:sz w:val="4"/>
          <w:szCs w:val="4"/>
          <w:lang w:val="en-NZ" w:eastAsia="en-NZ"/>
        </w:rPr>
      </w:pPr>
      <w:r>
        <w:rPr>
          <w:noProof/>
          <w:lang w:val="en-NZ" w:eastAsia="en-NZ"/>
        </w:rPr>
        <w:drawing>
          <wp:inline distT="0" distB="0" distL="0" distR="0" wp14:anchorId="6330E6AC" wp14:editId="51056BE8">
            <wp:extent cx="8648700" cy="6038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48700" cy="6038850"/>
                    </a:xfrm>
                    <a:prstGeom prst="rect">
                      <a:avLst/>
                    </a:prstGeom>
                    <a:noFill/>
                    <a:ln>
                      <a:noFill/>
                    </a:ln>
                  </pic:spPr>
                </pic:pic>
              </a:graphicData>
            </a:graphic>
          </wp:inline>
        </w:drawing>
      </w:r>
    </w:p>
    <w:p w14:paraId="460ABEDA" w14:textId="77777777" w:rsidR="00C76C03" w:rsidRDefault="00C76C03" w:rsidP="00C76C03">
      <w:pPr>
        <w:rPr>
          <w:noProof/>
          <w:lang w:val="en-NZ" w:eastAsia="en-NZ"/>
        </w:rPr>
        <w:sectPr w:rsidR="00C76C03" w:rsidSect="003736C9">
          <w:footerReference w:type="even" r:id="rId57"/>
          <w:footerReference w:type="default" r:id="rId58"/>
          <w:pgSz w:w="16840" w:h="11907" w:orient="landscape" w:code="9"/>
          <w:pgMar w:top="720" w:right="720" w:bottom="720" w:left="720" w:header="454" w:footer="454" w:gutter="0"/>
          <w:cols w:space="720"/>
          <w:docGrid w:linePitch="360"/>
        </w:sectPr>
      </w:pPr>
    </w:p>
    <w:p w14:paraId="25487F0C" w14:textId="4DCFA4F6" w:rsidR="00514B31" w:rsidRPr="00D17BFC" w:rsidRDefault="00514B31" w:rsidP="006E4FDB">
      <w:pPr>
        <w:pStyle w:val="Heading1"/>
      </w:pPr>
      <w:bookmarkStart w:id="236" w:name="_Toc16070935"/>
      <w:bookmarkStart w:id="237" w:name="_Toc20312852"/>
      <w:bookmarkStart w:id="238" w:name="_Toc50549015"/>
      <w:r>
        <w:t>Annex 2</w:t>
      </w:r>
      <w:r w:rsidRPr="00D17BFC">
        <w:t>: References</w:t>
      </w:r>
      <w:bookmarkEnd w:id="236"/>
      <w:bookmarkEnd w:id="237"/>
      <w:bookmarkEnd w:id="238"/>
    </w:p>
    <w:p w14:paraId="693EBEA2" w14:textId="0A0A20F6" w:rsidR="00514B31" w:rsidRDefault="00514B31" w:rsidP="00AE143F">
      <w:pPr>
        <w:spacing w:line="260" w:lineRule="atLeast"/>
        <w:ind w:left="425" w:hanging="425"/>
      </w:pPr>
      <w:r w:rsidRPr="00682458">
        <w:rPr>
          <w:b/>
          <w:bCs/>
        </w:rPr>
        <w:t>Department of Prime Minister and Cabinet</w:t>
      </w:r>
      <w:r>
        <w:t xml:space="preserve"> (20</w:t>
      </w:r>
      <w:r w:rsidR="00C013F9">
        <w:t>19</w:t>
      </w:r>
      <w:r>
        <w:t>), Cabinet Office Circular CO (1</w:t>
      </w:r>
      <w:r w:rsidR="00C013F9">
        <w:t>9</w:t>
      </w:r>
      <w:r>
        <w:t>) 0</w:t>
      </w:r>
      <w:r w:rsidR="00C013F9">
        <w:t>6</w:t>
      </w:r>
      <w:r>
        <w:t xml:space="preserve">, </w:t>
      </w:r>
      <w:r w:rsidRPr="000E4187">
        <w:rPr>
          <w:i/>
        </w:rPr>
        <w:t>Investment Management and Asset Performance in the State Services</w:t>
      </w:r>
      <w:r>
        <w:t xml:space="preserve">: </w:t>
      </w:r>
      <w:hyperlink r:id="rId59" w:history="1">
        <w:r w:rsidR="00C013F9" w:rsidRPr="00182023">
          <w:rPr>
            <w:rStyle w:val="Hyperlink"/>
          </w:rPr>
          <w:t>www.dpmc.govt.nz/publications/co-19-6-investment-management-and-asset-performance-state-services</w:t>
        </w:r>
      </w:hyperlink>
    </w:p>
    <w:p w14:paraId="27242D70" w14:textId="6A1FA144" w:rsidR="00514B31" w:rsidRDefault="00514B31" w:rsidP="00AE143F">
      <w:pPr>
        <w:spacing w:line="260" w:lineRule="atLeast"/>
        <w:ind w:left="425" w:hanging="425"/>
      </w:pPr>
      <w:r w:rsidRPr="00682458">
        <w:rPr>
          <w:b/>
          <w:bCs/>
        </w:rPr>
        <w:t>HM Treasury</w:t>
      </w:r>
      <w:r>
        <w:t xml:space="preserve"> (2003), </w:t>
      </w:r>
      <w:r w:rsidRPr="00D763F3">
        <w:rPr>
          <w:i/>
        </w:rPr>
        <w:t>Green Book: Appraisal and Evaluation in Central Government</w:t>
      </w:r>
      <w:r>
        <w:t xml:space="preserve">, Treasury Guidance updated July 2011: </w:t>
      </w:r>
      <w:hyperlink r:id="rId60" w:history="1">
        <w:r w:rsidR="00ED34A9" w:rsidRPr="00DA2906">
          <w:rPr>
            <w:rStyle w:val="Hyperlink"/>
            <w:rFonts w:cs="Arial"/>
          </w:rPr>
          <w:t>www.gov.uk/government/publications/the-green-book-appraisal-and-evaluation-in-central-governent</w:t>
        </w:r>
      </w:hyperlink>
    </w:p>
    <w:p w14:paraId="0B6B43B2" w14:textId="77777777" w:rsidR="00C013F9" w:rsidRDefault="00C013F9" w:rsidP="00AE143F">
      <w:pPr>
        <w:spacing w:line="260" w:lineRule="atLeast"/>
        <w:ind w:left="425" w:hanging="425"/>
      </w:pPr>
      <w:r w:rsidRPr="00105379">
        <w:rPr>
          <w:b/>
          <w:bCs/>
        </w:rPr>
        <w:t>Ministry of Business, Innovation and Employment</w:t>
      </w:r>
      <w:r>
        <w:t xml:space="preserve"> (2019), </w:t>
      </w:r>
      <w:r w:rsidRPr="00C013F9">
        <w:rPr>
          <w:i/>
          <w:iCs/>
        </w:rPr>
        <w:t xml:space="preserve">Achieving broader outcomes from government procurement </w:t>
      </w:r>
      <w:hyperlink r:id="rId61" w:history="1">
        <w:r w:rsidRPr="00DA2906">
          <w:rPr>
            <w:rStyle w:val="Hyperlink"/>
          </w:rPr>
          <w:t>www.procurement.govt.nz/broader-outcomes/</w:t>
        </w:r>
      </w:hyperlink>
      <w:r>
        <w:t xml:space="preserve"> </w:t>
      </w:r>
    </w:p>
    <w:p w14:paraId="31EFDA56" w14:textId="478F0048" w:rsidR="00514B31" w:rsidRDefault="00514B31" w:rsidP="00AE143F">
      <w:pPr>
        <w:spacing w:line="260" w:lineRule="atLeast"/>
        <w:ind w:left="425" w:hanging="425"/>
      </w:pPr>
      <w:r w:rsidRPr="00682458">
        <w:rPr>
          <w:b/>
          <w:bCs/>
        </w:rPr>
        <w:t xml:space="preserve">Ministry of Business, </w:t>
      </w:r>
      <w:r w:rsidR="00682458" w:rsidRPr="00682458">
        <w:rPr>
          <w:b/>
          <w:bCs/>
        </w:rPr>
        <w:t>I</w:t>
      </w:r>
      <w:r w:rsidRPr="00682458">
        <w:rPr>
          <w:b/>
          <w:bCs/>
        </w:rPr>
        <w:t>nnovation and Employment</w:t>
      </w:r>
      <w:r>
        <w:t xml:space="preserve"> (2011), </w:t>
      </w:r>
      <w:r w:rsidRPr="00932AE0">
        <w:rPr>
          <w:i/>
        </w:rPr>
        <w:t>Mastering Procurement: A Structured Ap</w:t>
      </w:r>
      <w:r>
        <w:rPr>
          <w:i/>
        </w:rPr>
        <w:t>proach to Strategic Procurement</w:t>
      </w:r>
      <w:r>
        <w:t xml:space="preserve">: </w:t>
      </w:r>
      <w:hyperlink r:id="rId62" w:history="1">
        <w:r w:rsidR="00ED34A9" w:rsidRPr="00DA2906">
          <w:rPr>
            <w:rStyle w:val="Hyperlink"/>
          </w:rPr>
          <w:t>www.procurement.govt.nz/procurement/guide-to-procurement/</w:t>
        </w:r>
      </w:hyperlink>
      <w:r>
        <w:t xml:space="preserve"> </w:t>
      </w:r>
    </w:p>
    <w:p w14:paraId="5997D501" w14:textId="7715B679" w:rsidR="00514B31" w:rsidRDefault="00514B31" w:rsidP="00AE143F">
      <w:pPr>
        <w:spacing w:line="260" w:lineRule="atLeast"/>
        <w:ind w:left="425" w:hanging="425"/>
      </w:pPr>
      <w:r w:rsidRPr="00105379">
        <w:rPr>
          <w:b/>
          <w:bCs/>
        </w:rPr>
        <w:t>Ministry of Business, Innovation and Employment</w:t>
      </w:r>
      <w:r>
        <w:t xml:space="preserve"> (2019), </w:t>
      </w:r>
      <w:r w:rsidRPr="001D4B8A">
        <w:rPr>
          <w:i/>
        </w:rPr>
        <w:t>The Government Rules of Sourcing</w:t>
      </w:r>
      <w:r>
        <w:t xml:space="preserve">: </w:t>
      </w:r>
      <w:hyperlink r:id="rId63" w:history="1">
        <w:r w:rsidR="00ED34A9" w:rsidRPr="00DA2906">
          <w:rPr>
            <w:rStyle w:val="Hyperlink"/>
          </w:rPr>
          <w:t>www.procurement.govt.nz/procurement/principles-and-rules/government-procurement-rules/</w:t>
        </w:r>
      </w:hyperlink>
      <w:r>
        <w:t xml:space="preserve"> </w:t>
      </w:r>
    </w:p>
    <w:p w14:paraId="2937D518" w14:textId="77777777" w:rsidR="003B652E" w:rsidRDefault="003B652E" w:rsidP="00AE143F">
      <w:pPr>
        <w:spacing w:line="260" w:lineRule="atLeast"/>
        <w:ind w:left="425" w:hanging="425"/>
      </w:pPr>
      <w:r>
        <w:rPr>
          <w:b/>
          <w:bCs/>
        </w:rPr>
        <w:t xml:space="preserve">New Zealand Infrastructure Commission Te Waihanga </w:t>
      </w:r>
      <w:r>
        <w:t xml:space="preserve">(2019) </w:t>
      </w:r>
      <w:r w:rsidRPr="00097A2D">
        <w:rPr>
          <w:i/>
          <w:iCs/>
        </w:rPr>
        <w:t>Public Private Partnerships (PPP)</w:t>
      </w:r>
      <w:r>
        <w:rPr>
          <w:i/>
          <w:iCs/>
        </w:rPr>
        <w:t>:</w:t>
      </w:r>
      <w:r w:rsidRPr="00097A2D">
        <w:rPr>
          <w:i/>
          <w:iCs/>
        </w:rPr>
        <w:t xml:space="preserve"> </w:t>
      </w:r>
      <w:hyperlink r:id="rId64" w:history="1">
        <w:r w:rsidRPr="00DA2906">
          <w:rPr>
            <w:rStyle w:val="Hyperlink"/>
          </w:rPr>
          <w:t>www.infracom.govt.nz/major-projects/public-private-partnerships/</w:t>
        </w:r>
      </w:hyperlink>
    </w:p>
    <w:p w14:paraId="3B94D369" w14:textId="2598951E" w:rsidR="00514B31" w:rsidRDefault="00514B31" w:rsidP="00AE143F">
      <w:pPr>
        <w:spacing w:line="260" w:lineRule="atLeast"/>
        <w:ind w:left="425" w:hanging="425"/>
      </w:pPr>
      <w:r w:rsidRPr="00682458">
        <w:rPr>
          <w:b/>
          <w:bCs/>
        </w:rPr>
        <w:t>Smith, Courtney A</w:t>
      </w:r>
      <w:r>
        <w:t xml:space="preserve"> and </w:t>
      </w:r>
      <w:r w:rsidRPr="00682458">
        <w:rPr>
          <w:b/>
          <w:bCs/>
        </w:rPr>
        <w:t>Flanagan, Joe</w:t>
      </w:r>
      <w:r>
        <w:t xml:space="preserve"> (2001), </w:t>
      </w:r>
      <w:r w:rsidRPr="00D763F3">
        <w:rPr>
          <w:i/>
        </w:rPr>
        <w:t xml:space="preserve">Making Sense of Public Sector Investments: the </w:t>
      </w:r>
      <w:r w:rsidR="008B52AA" w:rsidRPr="00D763F3">
        <w:rPr>
          <w:i/>
        </w:rPr>
        <w:t>five-case</w:t>
      </w:r>
      <w:r w:rsidRPr="00D763F3">
        <w:rPr>
          <w:i/>
        </w:rPr>
        <w:t xml:space="preserve"> model in decision-making</w:t>
      </w:r>
      <w:r>
        <w:t>, Radcliffe Publishing, (ISBN 1 85775 432 8)</w:t>
      </w:r>
    </w:p>
    <w:p w14:paraId="577F4872" w14:textId="2A79ED0C" w:rsidR="00514B31" w:rsidRPr="000E4187" w:rsidRDefault="00514B31" w:rsidP="00AE143F">
      <w:pPr>
        <w:spacing w:line="260" w:lineRule="atLeast"/>
        <w:ind w:left="425" w:hanging="425"/>
      </w:pPr>
      <w:r w:rsidRPr="00682458">
        <w:rPr>
          <w:b/>
          <w:bCs/>
        </w:rPr>
        <w:t>The Treasury</w:t>
      </w:r>
      <w:r>
        <w:t xml:space="preserve"> (20</w:t>
      </w:r>
      <w:r w:rsidR="00105379">
        <w:t>19-20</w:t>
      </w:r>
      <w:r>
        <w:t xml:space="preserve">) </w:t>
      </w:r>
      <w:r>
        <w:rPr>
          <w:i/>
        </w:rPr>
        <w:t>Better Business Case</w:t>
      </w:r>
      <w:r w:rsidR="00682458">
        <w:rPr>
          <w:i/>
        </w:rPr>
        <w:t>s</w:t>
      </w:r>
      <w:r>
        <w:rPr>
          <w:i/>
        </w:rPr>
        <w:t xml:space="preserve"> </w:t>
      </w:r>
      <w:r>
        <w:t xml:space="preserve">guidance, templates and supporting documents: </w:t>
      </w:r>
      <w:hyperlink w:history="1">
        <w:r w:rsidR="00682458" w:rsidRPr="00DA2906">
          <w:rPr>
            <w:rStyle w:val="Hyperlink"/>
          </w:rPr>
          <w:t xml:space="preserve"> www.treasury.govt.nz/statesector/investmentmanagement/plan/bbc</w:t>
        </w:r>
        <w:r w:rsidR="00682458" w:rsidRPr="00DA2906">
          <w:rPr>
            <w:rStyle w:val="Hyperlink"/>
            <w:rFonts w:cs="Arial"/>
            <w:lang w:val="en-NZ"/>
          </w:rPr>
          <w:t>/guidance</w:t>
        </w:r>
        <w:r w:rsidR="00682458" w:rsidRPr="00DA2906">
          <w:rPr>
            <w:rStyle w:val="Hyperlink"/>
            <w:rFonts w:cs="Arial"/>
          </w:rPr>
          <w:t xml:space="preserve"> </w:t>
        </w:r>
      </w:hyperlink>
    </w:p>
    <w:p w14:paraId="490B2D6E" w14:textId="53B8839A" w:rsidR="00514B31" w:rsidRDefault="00514B31" w:rsidP="00AE143F">
      <w:pPr>
        <w:spacing w:line="260" w:lineRule="atLeast"/>
        <w:ind w:left="425" w:hanging="425"/>
        <w:rPr>
          <w:i/>
        </w:rPr>
      </w:pPr>
      <w:r w:rsidRPr="00105379">
        <w:rPr>
          <w:b/>
          <w:bCs/>
        </w:rPr>
        <w:t>The Treasury</w:t>
      </w:r>
      <w:r>
        <w:t xml:space="preserve"> (2018) </w:t>
      </w:r>
      <w:r>
        <w:rPr>
          <w:i/>
        </w:rPr>
        <w:t xml:space="preserve">The Treasury’s </w:t>
      </w:r>
      <w:proofErr w:type="spellStart"/>
      <w:r>
        <w:rPr>
          <w:i/>
        </w:rPr>
        <w:t>CBAx</w:t>
      </w:r>
      <w:proofErr w:type="spellEnd"/>
      <w:r>
        <w:rPr>
          <w:i/>
        </w:rPr>
        <w:t xml:space="preserve"> tool: </w:t>
      </w:r>
      <w:hyperlink r:id="rId65" w:history="1">
        <w:r w:rsidR="00682458" w:rsidRPr="00DA2906">
          <w:rPr>
            <w:rStyle w:val="Hyperlink"/>
            <w:i/>
          </w:rPr>
          <w:t>www.treasury.govt.nz/information-and-services/state-sector-leadership/investment-management/plan-investment-choices/cost-benefit-analysis-including-public-sector-discount-rates/treasurys-cbax-tool</w:t>
        </w:r>
      </w:hyperlink>
      <w:r>
        <w:rPr>
          <w:i/>
        </w:rPr>
        <w:t xml:space="preserve"> </w:t>
      </w:r>
    </w:p>
    <w:p w14:paraId="4CDAC401" w14:textId="0C3C441E" w:rsidR="00514B31" w:rsidRDefault="00514B31" w:rsidP="00AE143F">
      <w:pPr>
        <w:spacing w:line="260" w:lineRule="atLeast"/>
        <w:ind w:left="425" w:hanging="425"/>
      </w:pPr>
      <w:r w:rsidRPr="00105379">
        <w:rPr>
          <w:b/>
          <w:bCs/>
        </w:rPr>
        <w:t>The Treasury</w:t>
      </w:r>
      <w:r>
        <w:t xml:space="preserve"> (2018) </w:t>
      </w:r>
      <w:r>
        <w:rPr>
          <w:i/>
        </w:rPr>
        <w:t>Cost benefit analysis including public sector discount rates:</w:t>
      </w:r>
      <w:r>
        <w:t xml:space="preserve"> </w:t>
      </w:r>
      <w:hyperlink r:id="rId66" w:history="1">
        <w:r w:rsidR="00682458" w:rsidRPr="00DA2906">
          <w:rPr>
            <w:rStyle w:val="Hyperlink"/>
          </w:rPr>
          <w:t>www.treasury.govt.nz/information-and-services/state-sector-leadership/investment-management/plan-investment-choices/cost-benefit-analysis-including-public-sector-discount-rates</w:t>
        </w:r>
      </w:hyperlink>
      <w:r>
        <w:t xml:space="preserve"> </w:t>
      </w:r>
    </w:p>
    <w:p w14:paraId="7F0DF68E" w14:textId="43D511ED" w:rsidR="00ED34A9" w:rsidRPr="00620E18" w:rsidRDefault="00ED34A9" w:rsidP="00AE143F">
      <w:pPr>
        <w:spacing w:line="260" w:lineRule="atLeast"/>
        <w:ind w:left="425" w:hanging="425"/>
      </w:pPr>
      <w:r w:rsidRPr="00105379">
        <w:rPr>
          <w:b/>
          <w:bCs/>
        </w:rPr>
        <w:t>The Treasury</w:t>
      </w:r>
      <w:r>
        <w:t xml:space="preserve"> (2018) </w:t>
      </w:r>
      <w:r>
        <w:rPr>
          <w:i/>
        </w:rPr>
        <w:t>Living Standards</w:t>
      </w:r>
      <w:r w:rsidRPr="00402D00">
        <w:t xml:space="preserve">: </w:t>
      </w:r>
      <w:hyperlink r:id="rId67" w:history="1">
        <w:r w:rsidRPr="00DA2906">
          <w:rPr>
            <w:rStyle w:val="Hyperlink"/>
          </w:rPr>
          <w:t>www.treasury.govt.nz/information-and-services/nz-economy/living-standards</w:t>
        </w:r>
      </w:hyperlink>
    </w:p>
    <w:p w14:paraId="7F9E3B8B" w14:textId="77777777" w:rsidR="00514B31" w:rsidRDefault="00514B31" w:rsidP="0087038D">
      <w:pPr>
        <w:spacing w:after="60" w:line="260" w:lineRule="atLeast"/>
        <w:ind w:left="567" w:hanging="567"/>
      </w:pPr>
      <w:r w:rsidRPr="00105379">
        <w:rPr>
          <w:b/>
          <w:bCs/>
        </w:rPr>
        <w:t>The Treasury</w:t>
      </w:r>
      <w:r>
        <w:t xml:space="preserve"> (2013) </w:t>
      </w:r>
      <w:r>
        <w:rPr>
          <w:i/>
        </w:rPr>
        <w:t>R</w:t>
      </w:r>
      <w:r w:rsidRPr="00532FD3">
        <w:rPr>
          <w:i/>
        </w:rPr>
        <w:t xml:space="preserve">egulatory </w:t>
      </w:r>
      <w:r>
        <w:rPr>
          <w:i/>
        </w:rPr>
        <w:t>Impact Assessments</w:t>
      </w:r>
      <w:r>
        <w:t xml:space="preserve"> (2019):</w:t>
      </w:r>
    </w:p>
    <w:p w14:paraId="745F33E3" w14:textId="010B4699" w:rsidR="00514B31" w:rsidRDefault="00993F59" w:rsidP="00AE143F">
      <w:pPr>
        <w:numPr>
          <w:ilvl w:val="0"/>
          <w:numId w:val="27"/>
        </w:numPr>
        <w:spacing w:after="60" w:line="260" w:lineRule="atLeast"/>
        <w:ind w:left="425" w:hanging="425"/>
      </w:pPr>
      <w:hyperlink r:id="rId68" w:history="1">
        <w:r w:rsidR="00682458" w:rsidRPr="00DA2906">
          <w:rPr>
            <w:rStyle w:val="Hyperlink"/>
          </w:rPr>
          <w:t>www.treasury.govt.nz/publications/legislation/regulatory-impact-assessments</w:t>
        </w:r>
      </w:hyperlink>
    </w:p>
    <w:p w14:paraId="035676FE" w14:textId="71DB710C" w:rsidR="00514B31" w:rsidRDefault="00993F59" w:rsidP="00AE143F">
      <w:pPr>
        <w:numPr>
          <w:ilvl w:val="0"/>
          <w:numId w:val="27"/>
        </w:numPr>
        <w:spacing w:after="240" w:line="260" w:lineRule="atLeast"/>
        <w:ind w:left="425" w:hanging="425"/>
      </w:pPr>
      <w:hyperlink r:id="rId69" w:history="1">
        <w:r w:rsidR="00682458" w:rsidRPr="00DA2906">
          <w:rPr>
            <w:rStyle w:val="Hyperlink"/>
          </w:rPr>
          <w:t>www.treasury.govt.nz/publications/guide/guide-cabinets-impact-analysis-requirements</w:t>
        </w:r>
      </w:hyperlink>
      <w:r w:rsidR="00514B31">
        <w:t xml:space="preserve">  </w:t>
      </w:r>
    </w:p>
    <w:p w14:paraId="05EC7FDF" w14:textId="65725C2B" w:rsidR="00514B31" w:rsidRDefault="00514B31" w:rsidP="00AE143F">
      <w:pPr>
        <w:spacing w:line="260" w:lineRule="atLeast"/>
        <w:ind w:left="425" w:hanging="425"/>
        <w:rPr>
          <w:i/>
        </w:rPr>
      </w:pPr>
      <w:r w:rsidRPr="00105379">
        <w:rPr>
          <w:b/>
          <w:bCs/>
        </w:rPr>
        <w:t>The Treasury</w:t>
      </w:r>
      <w:r>
        <w:t xml:space="preserve"> (2018) </w:t>
      </w:r>
      <w:r>
        <w:rPr>
          <w:i/>
        </w:rPr>
        <w:t xml:space="preserve">A wellbeing approach to cost benefit analysis: </w:t>
      </w:r>
      <w:hyperlink r:id="rId70" w:history="1">
        <w:r w:rsidR="00ED34A9" w:rsidRPr="00105379">
          <w:rPr>
            <w:rStyle w:val="Hyperlink"/>
            <w:iCs/>
          </w:rPr>
          <w:t>www.treasury.govt.nz/information-and-services/nz-economy/living-standards/our-living-standards-framework/wellbeing-approach-cost-benefit-analysis</w:t>
        </w:r>
      </w:hyperlink>
    </w:p>
    <w:p w14:paraId="5CF240AA" w14:textId="574B7FBF" w:rsidR="00514B31" w:rsidRDefault="00105379" w:rsidP="00AE143F">
      <w:pPr>
        <w:spacing w:line="260" w:lineRule="atLeast"/>
        <w:ind w:left="425" w:hanging="425"/>
        <w:rPr>
          <w:rStyle w:val="Hyperlink"/>
          <w:i/>
        </w:rPr>
      </w:pPr>
      <w:r w:rsidRPr="00097A2D">
        <w:rPr>
          <w:b/>
          <w:bCs/>
          <w:iCs/>
        </w:rPr>
        <w:t>The Treasury</w:t>
      </w:r>
      <w:r w:rsidRPr="00105379">
        <w:rPr>
          <w:iCs/>
        </w:rPr>
        <w:t xml:space="preserve"> (2015)</w:t>
      </w:r>
      <w:r>
        <w:rPr>
          <w:i/>
        </w:rPr>
        <w:t xml:space="preserve"> Whole of Life Cost guidance: </w:t>
      </w:r>
      <w:hyperlink r:id="rId71" w:history="1">
        <w:r w:rsidRPr="00DA2906">
          <w:rPr>
            <w:rStyle w:val="Hyperlink"/>
          </w:rPr>
          <w:t>www.treasury.govt.nz/publications/guide/whole-life-costs-guidance</w:t>
        </w:r>
      </w:hyperlink>
      <w:r w:rsidR="00514B31" w:rsidRPr="00D17BFC">
        <w:rPr>
          <w:rStyle w:val="Hyperlink"/>
          <w:i/>
        </w:rPr>
        <w:br w:type="page"/>
      </w:r>
    </w:p>
    <w:p w14:paraId="54A79700" w14:textId="77777777" w:rsidR="00514B31" w:rsidRDefault="00514B31" w:rsidP="00514B31">
      <w:pPr>
        <w:jc w:val="center"/>
        <w:rPr>
          <w:rStyle w:val="Hyperlink"/>
          <w:i/>
        </w:rPr>
      </w:pPr>
    </w:p>
    <w:p w14:paraId="3C58C267" w14:textId="77777777" w:rsidR="00514B31" w:rsidRDefault="00514B31" w:rsidP="00514B31">
      <w:pPr>
        <w:jc w:val="center"/>
        <w:rPr>
          <w:rStyle w:val="Hyperlink"/>
          <w:i/>
        </w:rPr>
      </w:pPr>
    </w:p>
    <w:p w14:paraId="3426B65F" w14:textId="77777777" w:rsidR="00514B31" w:rsidRDefault="00514B31" w:rsidP="00514B31">
      <w:pPr>
        <w:jc w:val="center"/>
        <w:rPr>
          <w:rStyle w:val="Hyperlink"/>
          <w:i/>
        </w:rPr>
      </w:pPr>
    </w:p>
    <w:p w14:paraId="4C2F22E4" w14:textId="77777777" w:rsidR="00514B31" w:rsidRPr="00D17BFC" w:rsidRDefault="00514B31" w:rsidP="00514B31">
      <w:pPr>
        <w:jc w:val="center"/>
        <w:rPr>
          <w:b/>
          <w:color w:val="002469"/>
        </w:rPr>
      </w:pPr>
      <w:r w:rsidRPr="00D17BFC">
        <w:rPr>
          <w:b/>
          <w:color w:val="002469"/>
        </w:rPr>
        <w:t>Acknowledgements</w:t>
      </w:r>
    </w:p>
    <w:p w14:paraId="475A7080" w14:textId="77777777" w:rsidR="00514B31" w:rsidRDefault="00514B31" w:rsidP="00AE143F">
      <w:pPr>
        <w:pBdr>
          <w:top w:val="single" w:sz="4" w:space="4" w:color="auto"/>
          <w:left w:val="single" w:sz="4" w:space="4" w:color="auto"/>
          <w:bottom w:val="single" w:sz="4" w:space="6" w:color="auto"/>
          <w:right w:val="single" w:sz="4" w:space="4" w:color="auto"/>
        </w:pBdr>
        <w:spacing w:before="60" w:after="60" w:line="240" w:lineRule="atLeast"/>
        <w:rPr>
          <w:sz w:val="20"/>
          <w:lang w:val="en-NZ"/>
        </w:rPr>
      </w:pPr>
      <w:r w:rsidRPr="00826E1B">
        <w:rPr>
          <w:sz w:val="20"/>
          <w:lang w:val="en-NZ"/>
        </w:rPr>
        <w:t>This document was created using mate</w:t>
      </w:r>
      <w:r>
        <w:rPr>
          <w:sz w:val="20"/>
          <w:lang w:val="en-NZ"/>
        </w:rPr>
        <w:t xml:space="preserve">rial provided by </w:t>
      </w:r>
      <w:r w:rsidRPr="00826E1B">
        <w:rPr>
          <w:sz w:val="20"/>
          <w:lang w:val="en-NZ"/>
        </w:rPr>
        <w:t xml:space="preserve">HM </w:t>
      </w:r>
      <w:r>
        <w:rPr>
          <w:sz w:val="20"/>
          <w:lang w:val="en-NZ"/>
        </w:rPr>
        <w:t xml:space="preserve">Treasury in the United Kingdom </w:t>
      </w:r>
      <w:r w:rsidRPr="00826E1B">
        <w:rPr>
          <w:sz w:val="20"/>
          <w:lang w:val="en-NZ"/>
        </w:rPr>
        <w:t>and the Welsh</w:t>
      </w:r>
      <w:r>
        <w:rPr>
          <w:sz w:val="20"/>
          <w:lang w:val="en-NZ"/>
        </w:rPr>
        <w:t xml:space="preserve"> Government (</w:t>
      </w:r>
      <w:proofErr w:type="spellStart"/>
      <w:r>
        <w:rPr>
          <w:sz w:val="20"/>
          <w:lang w:val="en-NZ"/>
        </w:rPr>
        <w:t>Llywodraeth</w:t>
      </w:r>
      <w:proofErr w:type="spellEnd"/>
      <w:r>
        <w:rPr>
          <w:sz w:val="20"/>
          <w:lang w:val="en-NZ"/>
        </w:rPr>
        <w:t xml:space="preserve"> </w:t>
      </w:r>
      <w:proofErr w:type="spellStart"/>
      <w:r>
        <w:rPr>
          <w:sz w:val="20"/>
          <w:lang w:val="en-NZ"/>
        </w:rPr>
        <w:t>Cymru</w:t>
      </w:r>
      <w:proofErr w:type="spellEnd"/>
      <w:r>
        <w:rPr>
          <w:sz w:val="20"/>
          <w:lang w:val="en-NZ"/>
        </w:rPr>
        <w:t>), licensed under the terms of the Open Government Licence v3.0 (</w:t>
      </w:r>
      <w:hyperlink r:id="rId72" w:history="1">
        <w:r w:rsidRPr="00D17BFC">
          <w:rPr>
            <w:rStyle w:val="Hyperlink"/>
            <w:sz w:val="20"/>
            <w:lang w:val="en-NZ"/>
          </w:rPr>
          <w:t>http://www.nationalarchives.gov.uk/doc/open-government-licence/version/3/</w:t>
        </w:r>
      </w:hyperlink>
      <w:r>
        <w:rPr>
          <w:sz w:val="20"/>
          <w:lang w:val="en-NZ"/>
        </w:rPr>
        <w:t xml:space="preserve">). </w:t>
      </w:r>
    </w:p>
    <w:p w14:paraId="739AB903" w14:textId="77777777" w:rsidR="00514B31" w:rsidRDefault="00514B31" w:rsidP="00AE143F">
      <w:pPr>
        <w:pBdr>
          <w:top w:val="single" w:sz="4" w:space="4" w:color="auto"/>
          <w:left w:val="single" w:sz="4" w:space="4" w:color="auto"/>
          <w:bottom w:val="single" w:sz="4" w:space="6" w:color="auto"/>
          <w:right w:val="single" w:sz="4" w:space="4" w:color="auto"/>
        </w:pBdr>
        <w:spacing w:before="60" w:after="60" w:line="240" w:lineRule="atLeast"/>
        <w:rPr>
          <w:sz w:val="20"/>
          <w:lang w:val="en-NZ"/>
        </w:rPr>
      </w:pPr>
      <w:r w:rsidRPr="00826E1B">
        <w:rPr>
          <w:sz w:val="20"/>
          <w:lang w:val="en-NZ"/>
        </w:rPr>
        <w:t>The Five Case Model is the best pract</w:t>
      </w:r>
      <w:r>
        <w:rPr>
          <w:sz w:val="20"/>
          <w:lang w:val="en-NZ"/>
        </w:rPr>
        <w:t xml:space="preserve">ice standard recommended by </w:t>
      </w:r>
      <w:r w:rsidRPr="00826E1B">
        <w:rPr>
          <w:sz w:val="20"/>
          <w:lang w:val="en-NZ"/>
        </w:rPr>
        <w:t>HM Treasury for the preparation of business cases</w:t>
      </w:r>
      <w:r>
        <w:rPr>
          <w:sz w:val="20"/>
          <w:lang w:val="en-NZ"/>
        </w:rPr>
        <w:t xml:space="preserve">, published as The Green Book: </w:t>
      </w:r>
      <w:hyperlink r:id="rId73" w:history="1">
        <w:r w:rsidRPr="00D17BFC">
          <w:rPr>
            <w:rStyle w:val="Hyperlink"/>
            <w:sz w:val="20"/>
            <w:lang w:val="en-NZ"/>
          </w:rPr>
          <w:t>https://assets.publishing.service.gov.uk/government/uploads/system/uploads/attachment_data/file/685903/The_Green_Book.pdf</w:t>
        </w:r>
      </w:hyperlink>
      <w:r w:rsidRPr="00826E1B">
        <w:rPr>
          <w:sz w:val="20"/>
          <w:lang w:val="en-NZ"/>
        </w:rPr>
        <w:t>.</w:t>
      </w:r>
      <w:r>
        <w:rPr>
          <w:sz w:val="20"/>
          <w:lang w:val="en-NZ"/>
        </w:rPr>
        <w:t xml:space="preserve"> </w:t>
      </w:r>
    </w:p>
    <w:p w14:paraId="11B8921E" w14:textId="77777777" w:rsidR="00514B31" w:rsidRPr="00363F0F" w:rsidRDefault="00514B31" w:rsidP="00514B31">
      <w:pPr>
        <w:pStyle w:val="spacer"/>
        <w:tabs>
          <w:tab w:val="left" w:pos="9072"/>
        </w:tabs>
        <w:rPr>
          <w:lang w:val="en-NZ"/>
        </w:rPr>
      </w:pPr>
    </w:p>
    <w:p w14:paraId="70CA3D45" w14:textId="77777777" w:rsidR="00514B31" w:rsidRDefault="00514B31" w:rsidP="00514B31">
      <w:pPr>
        <w:tabs>
          <w:tab w:val="left" w:pos="9072"/>
        </w:tabs>
        <w:spacing w:after="0" w:line="240" w:lineRule="auto"/>
        <w:jc w:val="center"/>
        <w:rPr>
          <w:sz w:val="20"/>
        </w:rPr>
      </w:pPr>
      <w:r w:rsidRPr="00D01A19">
        <w:rPr>
          <w:sz w:val="20"/>
        </w:rPr>
        <w:t>© Crown Copyright</w:t>
      </w:r>
    </w:p>
    <w:tbl>
      <w:tblPr>
        <w:tblW w:w="9072" w:type="dxa"/>
        <w:tblLook w:val="04A0" w:firstRow="1" w:lastRow="0" w:firstColumn="1" w:lastColumn="0" w:noHBand="0" w:noVBand="1"/>
      </w:tblPr>
      <w:tblGrid>
        <w:gridCol w:w="9072"/>
      </w:tblGrid>
      <w:tr w:rsidR="00514B31" w14:paraId="4A1DCB16" w14:textId="77777777" w:rsidTr="00AE143F">
        <w:tc>
          <w:tcPr>
            <w:tcW w:w="9072" w:type="dxa"/>
            <w:shd w:val="clear" w:color="auto" w:fill="auto"/>
          </w:tcPr>
          <w:p w14:paraId="199D7EFF" w14:textId="17DEEB89" w:rsidR="00514B31" w:rsidRPr="00890C69" w:rsidRDefault="00552B6B" w:rsidP="00AE143F">
            <w:pPr>
              <w:tabs>
                <w:tab w:val="center" w:pos="7077"/>
                <w:tab w:val="left" w:pos="9072"/>
              </w:tabs>
              <w:spacing w:after="0" w:line="260" w:lineRule="atLeast"/>
              <w:ind w:right="318"/>
              <w:rPr>
                <w:rFonts w:ascii="Times New Roman" w:hAnsi="Times New Roman"/>
                <w:sz w:val="18"/>
              </w:rPr>
            </w:pPr>
            <w:r>
              <w:rPr>
                <w:noProof/>
                <w:sz w:val="20"/>
                <w:lang w:val="en-NZ" w:eastAsia="en-NZ"/>
              </w:rPr>
              <w:drawing>
                <wp:inline distT="0" distB="0" distL="0" distR="0" wp14:anchorId="660E4028" wp14:editId="5E3F43E5">
                  <wp:extent cx="733425"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00514B31">
              <w:rPr>
                <w:sz w:val="20"/>
                <w:lang w:val="en-NZ"/>
              </w:rPr>
              <w:t xml:space="preserve">   </w:t>
            </w:r>
            <w:r w:rsidR="00514B31" w:rsidRPr="00890C69">
              <w:rPr>
                <w:sz w:val="18"/>
              </w:rPr>
              <w:t>This work is licensed under the Creative Commons Attribution 4.0 International licence.</w:t>
            </w:r>
            <w:r w:rsidR="00682458">
              <w:rPr>
                <w:sz w:val="18"/>
              </w:rPr>
              <w:t xml:space="preserve"> </w:t>
            </w:r>
            <w:r w:rsidR="00514B31" w:rsidRPr="00890C69">
              <w:rPr>
                <w:sz w:val="18"/>
              </w:rPr>
              <w:t xml:space="preserve"> In essence, you are free to copy, distribute and adapt the work, as long as you attribute the work to the Crown and abide by the other licence terms.</w:t>
            </w:r>
          </w:p>
        </w:tc>
      </w:tr>
      <w:tr w:rsidR="00514B31" w14:paraId="21901D3D" w14:textId="77777777" w:rsidTr="00AE143F">
        <w:tc>
          <w:tcPr>
            <w:tcW w:w="9072" w:type="dxa"/>
            <w:shd w:val="clear" w:color="auto" w:fill="auto"/>
          </w:tcPr>
          <w:p w14:paraId="7404EBA6" w14:textId="77777777" w:rsidR="00514B31" w:rsidRDefault="00514B31" w:rsidP="00AE143F">
            <w:pPr>
              <w:tabs>
                <w:tab w:val="left" w:pos="9072"/>
              </w:tabs>
              <w:spacing w:after="0" w:line="260" w:lineRule="atLeast"/>
              <w:ind w:right="318"/>
              <w:rPr>
                <w:sz w:val="18"/>
              </w:rPr>
            </w:pPr>
            <w:r w:rsidRPr="00890C69">
              <w:rPr>
                <w:sz w:val="18"/>
              </w:rPr>
              <w:t xml:space="preserve">To view a copy of this licence, visit </w:t>
            </w:r>
            <w:hyperlink r:id="rId75" w:history="1">
              <w:r w:rsidRPr="00D17BFC">
                <w:rPr>
                  <w:rStyle w:val="Hyperlink"/>
                  <w:sz w:val="18"/>
                </w:rPr>
                <w:t>https://creativecommons.org/licenses/by/4.0/</w:t>
              </w:r>
            </w:hyperlink>
            <w:r w:rsidRPr="00890C69">
              <w:rPr>
                <w:sz w:val="18"/>
              </w:rPr>
              <w:t>. Please note that no departmental or governmental emblem,</w:t>
            </w:r>
            <w:r>
              <w:rPr>
                <w:sz w:val="18"/>
              </w:rPr>
              <w:t xml:space="preserve"> </w:t>
            </w:r>
            <w:r w:rsidRPr="00890C69">
              <w:rPr>
                <w:sz w:val="18"/>
              </w:rPr>
              <w:t xml:space="preserve">logo or Coat of Arms may be used in any way which infringes any provision of the </w:t>
            </w:r>
            <w:hyperlink r:id="rId76" w:anchor="dlm52216" w:history="1">
              <w:r w:rsidRPr="00D17BFC">
                <w:rPr>
                  <w:rStyle w:val="Hyperlink"/>
                  <w:sz w:val="18"/>
                </w:rPr>
                <w:t>Flags, Emblems, and Names Protection Act 1981</w:t>
              </w:r>
            </w:hyperlink>
            <w:r w:rsidRPr="00890C69">
              <w:rPr>
                <w:sz w:val="18"/>
              </w:rPr>
              <w:t xml:space="preserve">. </w:t>
            </w:r>
          </w:p>
          <w:p w14:paraId="7BD12547" w14:textId="77777777" w:rsidR="00514B31" w:rsidRPr="00890C69" w:rsidRDefault="00514B31" w:rsidP="00AE143F">
            <w:pPr>
              <w:tabs>
                <w:tab w:val="left" w:pos="9072"/>
              </w:tabs>
              <w:spacing w:after="0" w:line="260" w:lineRule="atLeast"/>
              <w:ind w:right="318"/>
              <w:rPr>
                <w:sz w:val="18"/>
              </w:rPr>
            </w:pPr>
            <w:r w:rsidRPr="00890C69">
              <w:rPr>
                <w:sz w:val="18"/>
              </w:rPr>
              <w:t>Attribution to the Crown should be in written form and not by reproduction of any such emblem, logo or Coat of Arms.</w:t>
            </w:r>
          </w:p>
        </w:tc>
      </w:tr>
    </w:tbl>
    <w:p w14:paraId="30BE7E29" w14:textId="77777777" w:rsidR="00C76C03" w:rsidRPr="00C76C03" w:rsidRDefault="00C76C03" w:rsidP="00766D69"/>
    <w:sectPr w:rsidR="00C76C03" w:rsidRPr="00C76C03" w:rsidSect="00682458">
      <w:headerReference w:type="default" r:id="rId77"/>
      <w:footerReference w:type="even" r:id="rId78"/>
      <w:footerReference w:type="default" r:id="rId79"/>
      <w:headerReference w:type="first" r:id="rId80"/>
      <w:footerReference w:type="first" r:id="rId81"/>
      <w:pgSz w:w="11907" w:h="16840" w:code="9"/>
      <w:pgMar w:top="1440" w:right="1440" w:bottom="1440" w:left="1440"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FE13" w14:textId="77777777" w:rsidR="00993F59" w:rsidRDefault="00993F59">
      <w:r>
        <w:separator/>
      </w:r>
    </w:p>
  </w:endnote>
  <w:endnote w:type="continuationSeparator" w:id="0">
    <w:p w14:paraId="13866AFA" w14:textId="77777777" w:rsidR="00993F59" w:rsidRDefault="009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EFEE" w14:textId="36DEEE35" w:rsidR="00993F59" w:rsidRDefault="00993F59" w:rsidP="00211397">
    <w:pPr>
      <w:spacing w:after="0"/>
    </w:pPr>
    <w:r w:rsidRPr="00A44549">
      <w:rPr>
        <w:color w:val="002469"/>
        <w:sz w:val="16"/>
        <w:szCs w:val="16"/>
      </w:rPr>
      <w:fldChar w:fldCharType="begin"/>
    </w:r>
    <w:r w:rsidRPr="00A44549">
      <w:rPr>
        <w:color w:val="002469"/>
        <w:sz w:val="16"/>
        <w:szCs w:val="16"/>
      </w:rPr>
      <w:instrText xml:space="preserve"> PAGE </w:instrText>
    </w:r>
    <w:r w:rsidRPr="00A44549">
      <w:rPr>
        <w:color w:val="002469"/>
        <w:sz w:val="16"/>
        <w:szCs w:val="16"/>
      </w:rPr>
      <w:fldChar w:fldCharType="separate"/>
    </w:r>
    <w:r>
      <w:rPr>
        <w:noProof/>
        <w:color w:val="002469"/>
        <w:sz w:val="16"/>
        <w:szCs w:val="16"/>
      </w:rPr>
      <w:t>26</w:t>
    </w:r>
    <w:r w:rsidRPr="00A44549">
      <w:rPr>
        <w:color w:val="002469"/>
        <w:sz w:val="16"/>
        <w:szCs w:val="16"/>
      </w:rPr>
      <w:fldChar w:fldCharType="end"/>
    </w:r>
    <w:r>
      <w:rPr>
        <w:color w:val="002469"/>
        <w:sz w:val="16"/>
        <w:szCs w:val="16"/>
      </w:rPr>
      <w:t xml:space="preserve">   |   </w:t>
    </w:r>
    <w:r w:rsidRPr="00A44549">
      <w:rPr>
        <w:color w:val="002469"/>
        <w:sz w:val="16"/>
        <w:szCs w:val="16"/>
      </w:rPr>
      <w:t>Better Business Cases: Implementation</w:t>
    </w:r>
    <w:r>
      <w:rPr>
        <w:color w:val="002469"/>
        <w:sz w:val="16"/>
        <w:szCs w:val="16"/>
      </w:rPr>
      <w:t xml:space="preserve"> Business Case</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FC0C" w14:textId="480D0748" w:rsidR="00993F59" w:rsidRPr="00B20E8E" w:rsidRDefault="00993F59" w:rsidP="00AE143F">
    <w:pPr>
      <w:pStyle w:val="Footer"/>
    </w:pPr>
    <w:r>
      <w:t>September 2020</w:t>
    </w:r>
    <w:r>
      <w:tab/>
    </w:r>
    <w:r>
      <w:tab/>
    </w:r>
    <w:r w:rsidRPr="00B20E8E">
      <w:t xml:space="preserve">Better Business Cases: Guide to </w:t>
    </w:r>
    <w:r>
      <w:t>Implementation</w:t>
    </w:r>
    <w:r w:rsidRPr="00B20E8E">
      <w:t xml:space="preserve"> Business Case   |   </w:t>
    </w:r>
    <w:r w:rsidRPr="00B20E8E">
      <w:rPr>
        <w:noProof w:val="0"/>
      </w:rPr>
      <w:fldChar w:fldCharType="begin"/>
    </w:r>
    <w:r w:rsidRPr="00B20E8E">
      <w:instrText xml:space="preserve"> PAGE </w:instrText>
    </w:r>
    <w:r w:rsidRPr="00B20E8E">
      <w:rPr>
        <w:noProof w:val="0"/>
      </w:rPr>
      <w:fldChar w:fldCharType="separate"/>
    </w:r>
    <w:r>
      <w:t>55</w:t>
    </w:r>
    <w:r w:rsidRPr="00B20E8E">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8A90" w14:textId="62138DB6" w:rsidR="00993F59" w:rsidRPr="00D17BFC" w:rsidRDefault="00993F59" w:rsidP="00AE143F">
    <w:pPr>
      <w:pStyle w:val="Footer"/>
    </w:pPr>
    <w:r w:rsidRPr="00D17BFC">
      <w:rPr>
        <w:noProof w:val="0"/>
      </w:rPr>
      <w:fldChar w:fldCharType="begin"/>
    </w:r>
    <w:r w:rsidRPr="00D17BFC">
      <w:instrText xml:space="preserve"> PAGE </w:instrText>
    </w:r>
    <w:r w:rsidRPr="00D17BFC">
      <w:rPr>
        <w:noProof w:val="0"/>
      </w:rPr>
      <w:fldChar w:fldCharType="separate"/>
    </w:r>
    <w:r>
      <w:t>56</w:t>
    </w:r>
    <w:r w:rsidRPr="00D17BFC">
      <w:fldChar w:fldCharType="end"/>
    </w:r>
    <w:r w:rsidRPr="00D17BFC">
      <w:t xml:space="preserve">   |   Better Business Cases: Guide to Developing the Programme Business Case</w:t>
    </w:r>
    <w:r w:rsidRPr="00D17BFC">
      <w:tab/>
    </w:r>
    <w:r>
      <w:t>September 2020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A858" w14:textId="28C54B1E" w:rsidR="00993F59" w:rsidRDefault="00993F59" w:rsidP="00AE143F">
    <w:pPr>
      <w:pStyle w:val="Footer"/>
    </w:pPr>
    <w:r>
      <w:rPr>
        <w:lang w:val="en-NZ" w:eastAsia="en-NZ"/>
      </w:rPr>
      <mc:AlternateContent>
        <mc:Choice Requires="wps">
          <w:drawing>
            <wp:anchor distT="0" distB="0" distL="114300" distR="114300" simplePos="0" relativeHeight="251658240" behindDoc="0" locked="0" layoutInCell="0" allowOverlap="1" wp14:anchorId="7084129C" wp14:editId="0DFF900D">
              <wp:simplePos x="0" y="0"/>
              <wp:positionH relativeFrom="page">
                <wp:posOffset>1351280</wp:posOffset>
              </wp:positionH>
              <wp:positionV relativeFrom="page">
                <wp:posOffset>8820150</wp:posOffset>
              </wp:positionV>
              <wp:extent cx="7772400" cy="457200"/>
              <wp:effectExtent l="0" t="0" r="1270" b="0"/>
              <wp:wrapNone/>
              <wp:docPr id="1" name="MSIPCMf723464eb75f65b3a63cc501" descr="{&quot;HashCode&quot;:1940970954,&quot;Height&quot;:9999999.0,&quot;Width&quot;:9999999.0,&quot;Placement&quot;:&quot;Footer&quot;,&quot;Index&quot;:&quot;Primary&quot;,&quot;Section&quot;:1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742A" w14:textId="77777777" w:rsidR="00993F59" w:rsidRPr="00C07556" w:rsidRDefault="00993F59" w:rsidP="00C07556">
                          <w:pPr>
                            <w:spacing w:after="0"/>
                            <w:jc w:val="center"/>
                            <w:rPr>
                              <w:rFonts w:ascii="Verdana" w:hAnsi="Verdana"/>
                              <w:color w:val="000000"/>
                              <w:sz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4129C" id="_x0000_t202" coordsize="21600,21600" o:spt="202" path="m,l,21600r21600,l21600,xe">
              <v:stroke joinstyle="miter"/>
              <v:path gradientshapeok="t" o:connecttype="rect"/>
            </v:shapetype>
            <v:shape id="MSIPCMf723464eb75f65b3a63cc501" o:spid="_x0000_s1027" type="#_x0000_t202" alt="{&quot;HashCode&quot;:1940970954,&quot;Height&quot;:9999999.0,&quot;Width&quot;:9999999.0,&quot;Placement&quot;:&quot;Footer&quot;,&quot;Index&quot;:&quot;Primary&quot;,&quot;Section&quot;:10,&quot;Top&quot;:0.0,&quot;Left&quot;:0.0}" style="position:absolute;margin-left:106.4pt;margin-top:694.5pt;width:612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" o:allowincell="f" filled="f" stroked="f">
              <v:textbox inset=",0,,0">
                <w:txbxContent>
                  <w:p w14:paraId="3748742A" w14:textId="77777777" w:rsidR="005F2E69" w:rsidRPr="00C07556" w:rsidRDefault="005F2E69" w:rsidP="00C07556">
                    <w:pPr>
                      <w:spacing w:after="0"/>
                      <w:jc w:val="center"/>
                      <w:rPr>
                        <w:rFonts w:ascii="Verdana" w:hAnsi="Verdana"/>
                        <w:color w:val="000000"/>
                        <w:sz w:val="20"/>
                      </w:rPr>
                    </w:pPr>
                  </w:p>
                </w:txbxContent>
              </v:textbox>
              <w10:wrap anchorx="page" anchory="page"/>
            </v:shape>
          </w:pict>
        </mc:Fallback>
      </mc:AlternateContent>
    </w:r>
    <w:r>
      <w:t>September 2020</w:t>
    </w:r>
    <w:r w:rsidRPr="00B20E8E">
      <w:tab/>
      <w:t xml:space="preserve">Better Business Cases: Guide to Developing the </w:t>
    </w:r>
    <w:r>
      <w:t>Implementation</w:t>
    </w:r>
    <w:r w:rsidRPr="00B20E8E">
      <w:t xml:space="preserve"> Business Case   |   </w:t>
    </w:r>
    <w:r w:rsidRPr="00B20E8E">
      <w:rPr>
        <w:noProof w:val="0"/>
      </w:rPr>
      <w:fldChar w:fldCharType="begin"/>
    </w:r>
    <w:r w:rsidRPr="00B20E8E">
      <w:instrText xml:space="preserve"> PAGE </w:instrText>
    </w:r>
    <w:r w:rsidRPr="00B20E8E">
      <w:rPr>
        <w:noProof w:val="0"/>
      </w:rPr>
      <w:fldChar w:fldCharType="separate"/>
    </w:r>
    <w:r>
      <w:t>57</w:t>
    </w:r>
    <w:r w:rsidRPr="00B20E8E">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754E" w14:textId="07C7AFF3" w:rsidR="00993F59" w:rsidRPr="00D17BFC" w:rsidRDefault="00993F59" w:rsidP="00AE143F">
    <w:pPr>
      <w:pStyle w:val="Footer"/>
    </w:pPr>
    <w:r>
      <w:t>September 2020</w:t>
    </w:r>
    <w:r w:rsidRPr="00D17BFC">
      <w:tab/>
      <w:t xml:space="preserve">Better Business Cases: Guide to Developing the </w:t>
    </w:r>
    <w:r>
      <w:t>Implementation</w:t>
    </w:r>
    <w:r w:rsidRPr="00D17BFC">
      <w:t xml:space="preserve"> Business Case   |   </w:t>
    </w:r>
    <w:r w:rsidRPr="00D17BFC">
      <w:rPr>
        <w:noProof w:val="0"/>
      </w:rPr>
      <w:fldChar w:fldCharType="begin"/>
    </w:r>
    <w:r w:rsidRPr="00D17BFC">
      <w:instrText xml:space="preserve"> PAGE </w:instrText>
    </w:r>
    <w:r w:rsidRPr="00D17BFC">
      <w:rPr>
        <w:noProof w:val="0"/>
      </w:rPr>
      <w:fldChar w:fldCharType="separate"/>
    </w:r>
    <w:r>
      <w:t>55</w:t>
    </w:r>
    <w:r w:rsidRPr="00D17B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49BE" w14:textId="1F465A94" w:rsidR="00993F59" w:rsidRPr="00D17BFC" w:rsidRDefault="00993F59" w:rsidP="00AE143F">
    <w:pPr>
      <w:pStyle w:val="Footer"/>
    </w:pPr>
    <w:r>
      <w:t xml:space="preserve">Treasury:4278173v3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49C6" w14:textId="7964DC1B" w:rsidR="00993F59" w:rsidRPr="00D17BFC" w:rsidRDefault="00993F59" w:rsidP="00AE143F">
    <w:pPr>
      <w:pStyle w:val="Footer"/>
    </w:pPr>
    <w:r>
      <w:rPr>
        <w:lang w:val="en-NZ" w:eastAsia="en-NZ"/>
      </w:rPr>
      <mc:AlternateContent>
        <mc:Choice Requires="wps">
          <w:drawing>
            <wp:anchor distT="0" distB="0" distL="114300" distR="114300" simplePos="0" relativeHeight="251657216" behindDoc="0" locked="0" layoutInCell="0" allowOverlap="1" wp14:anchorId="5FF2611A" wp14:editId="54A28212">
              <wp:simplePos x="0" y="0"/>
              <wp:positionH relativeFrom="page">
                <wp:posOffset>-166370</wp:posOffset>
              </wp:positionH>
              <wp:positionV relativeFrom="page">
                <wp:posOffset>10229850</wp:posOffset>
              </wp:positionV>
              <wp:extent cx="7772400" cy="457200"/>
              <wp:effectExtent l="0" t="0" r="4445" b="0"/>
              <wp:wrapNone/>
              <wp:docPr id="2" name="MSIPCMfa0e429d8d52019c2a951350" descr="{&quot;HashCode&quot;:1940970954,&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A53E" w14:textId="77777777" w:rsidR="00993F59" w:rsidRPr="00C07556" w:rsidRDefault="00993F59" w:rsidP="00C07556">
                          <w:pPr>
                            <w:spacing w:after="0"/>
                            <w:jc w:val="center"/>
                            <w:rPr>
                              <w:rFonts w:ascii="Verdana" w:hAnsi="Verdana"/>
                              <w:color w:val="000000"/>
                              <w:sz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611A" id="_x0000_t202" coordsize="21600,21600" o:spt="202" path="m,l,21600r21600,l21600,xe">
              <v:stroke joinstyle="miter"/>
              <v:path gradientshapeok="t" o:connecttype="rect"/>
            </v:shapetype>
            <v:shape id="MSIPCMfa0e429d8d52019c2a951350" o:spid="_x0000_s1026" type="#_x0000_t202" alt="{&quot;HashCode&quot;:1940970954,&quot;Height&quot;:9999999.0,&quot;Width&quot;:9999999.0,&quot;Placement&quot;:&quot;Footer&quot;,&quot;Index&quot;:&quot;FirstPage&quot;,&quot;Section&quot;:1,&quot;Top&quot;:0.0,&quot;Left&quot;:0.0}" style="position:absolute;margin-left:-13.1pt;margin-top:805.5pt;width:612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" o:allowincell="f" filled="f" stroked="f">
              <v:textbox inset=",0,,0">
                <w:txbxContent>
                  <w:p w14:paraId="0389A53E" w14:textId="77777777" w:rsidR="00993F59" w:rsidRPr="00C07556" w:rsidRDefault="00993F59" w:rsidP="00C07556">
                    <w:pPr>
                      <w:spacing w:after="0"/>
                      <w:jc w:val="center"/>
                      <w:rPr>
                        <w:rFonts w:ascii="Verdana" w:hAnsi="Verdana"/>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42CE" w14:textId="63C4ECE2" w:rsidR="00993F59" w:rsidRPr="00607C47" w:rsidRDefault="00993F59" w:rsidP="00211397">
    <w:pPr>
      <w:pStyle w:val="Evenfooter-wide"/>
      <w:jc w:val="right"/>
    </w:pPr>
    <w:r w:rsidRPr="00607C47">
      <w:t xml:space="preserve">Better Business Cases: Implementation Business Case   |   </w:t>
    </w:r>
    <w:r w:rsidRPr="00607C47">
      <w:fldChar w:fldCharType="begin"/>
    </w:r>
    <w:r w:rsidRPr="00607C47">
      <w:instrText xml:space="preserve"> PAGE </w:instrText>
    </w:r>
    <w:r w:rsidRPr="00607C47">
      <w:fldChar w:fldCharType="separate"/>
    </w:r>
    <w:r>
      <w:t>25</w:t>
    </w:r>
    <w:r w:rsidRPr="00607C4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2A85" w14:textId="490C94F6" w:rsidR="00993F59" w:rsidRPr="00D17BFC" w:rsidRDefault="00993F59" w:rsidP="00607C47">
    <w:pPr>
      <w:pStyle w:val="Evenfooter-wide"/>
      <w:rPr>
        <w:caps/>
      </w:rPr>
    </w:pPr>
    <w:r w:rsidRPr="00D17BFC">
      <w:rPr>
        <w:noProof w:val="0"/>
      </w:rPr>
      <w:fldChar w:fldCharType="begin"/>
    </w:r>
    <w:r w:rsidRPr="00D17BFC">
      <w:instrText xml:space="preserve">PAGE  </w:instrText>
    </w:r>
    <w:r w:rsidRPr="00D17BFC">
      <w:rPr>
        <w:noProof w:val="0"/>
      </w:rPr>
      <w:fldChar w:fldCharType="separate"/>
    </w:r>
    <w:r>
      <w:t>34</w:t>
    </w:r>
    <w:r w:rsidRPr="00D17BFC">
      <w:fldChar w:fldCharType="end"/>
    </w:r>
    <w:r w:rsidRPr="00D17BFC">
      <w:t xml:space="preserve">   |   </w:t>
    </w:r>
    <w:r>
      <w:t>Better Business Cases: Implementation</w:t>
    </w:r>
    <w:r w:rsidRPr="00D17BFC">
      <w:t xml:space="preserve"> Business Case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EDEF" w14:textId="27B73303" w:rsidR="00993F59" w:rsidRPr="00D17BFC" w:rsidRDefault="00993F59" w:rsidP="00AE143F">
    <w:pPr>
      <w:pStyle w:val="Footer"/>
    </w:pPr>
    <w:r w:rsidRPr="00D17BFC">
      <w:rPr>
        <w:noProof w:val="0"/>
      </w:rPr>
      <w:fldChar w:fldCharType="begin"/>
    </w:r>
    <w:r w:rsidRPr="00D17BFC">
      <w:instrText xml:space="preserve"> PAGE </w:instrText>
    </w:r>
    <w:r w:rsidRPr="00D17BFC">
      <w:rPr>
        <w:noProof w:val="0"/>
      </w:rPr>
      <w:fldChar w:fldCharType="separate"/>
    </w:r>
    <w:r>
      <w:t>52</w:t>
    </w:r>
    <w:r w:rsidRPr="00D17BFC">
      <w:fldChar w:fldCharType="end"/>
    </w:r>
    <w:r w:rsidRPr="00D17BFC">
      <w:t xml:space="preserve">   |   Better Business Cases: Guide to Developing the Programme Business Case</w:t>
    </w:r>
    <w:r w:rsidRPr="00D17BFC">
      <w:tab/>
    </w:r>
    <w:r>
      <w:t>September 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AF6B" w14:textId="61FF6355" w:rsidR="00993F59" w:rsidRDefault="00993F59" w:rsidP="00AE143F">
    <w:pPr>
      <w:pStyle w:val="Footer"/>
    </w:pPr>
    <w:r>
      <w:t>September 2020</w:t>
    </w:r>
    <w:r>
      <w:tab/>
    </w:r>
    <w:r w:rsidRPr="00B20E8E">
      <w:t xml:space="preserve">Better Business Cases: Guide to </w:t>
    </w:r>
    <w:r>
      <w:t>Implementation</w:t>
    </w:r>
    <w:r w:rsidRPr="00B20E8E">
      <w:t xml:space="preserve"> Business Case   |   </w:t>
    </w:r>
    <w:r w:rsidRPr="00B20E8E">
      <w:rPr>
        <w:noProof w:val="0"/>
      </w:rPr>
      <w:fldChar w:fldCharType="begin"/>
    </w:r>
    <w:r w:rsidRPr="00B20E8E">
      <w:instrText xml:space="preserve"> PAGE </w:instrText>
    </w:r>
    <w:r w:rsidRPr="00B20E8E">
      <w:rPr>
        <w:noProof w:val="0"/>
      </w:rPr>
      <w:fldChar w:fldCharType="separate"/>
    </w:r>
    <w:r>
      <w:t>53</w:t>
    </w:r>
    <w:r w:rsidRPr="00B20E8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1EBBA" w14:textId="77777777" w:rsidR="00993F59" w:rsidRPr="00D17BFC" w:rsidRDefault="00993F59" w:rsidP="00AE143F">
    <w:pPr>
      <w:pStyle w:val="Footer"/>
    </w:pPr>
    <w:r>
      <w:t>November</w:t>
    </w:r>
    <w:r w:rsidRPr="00D17BFC">
      <w:t xml:space="preserve"> 2019</w:t>
    </w:r>
    <w:r w:rsidRPr="00D17BFC">
      <w:tab/>
      <w:t xml:space="preserve">Better Business Cases: Guide to Developing the Programme Business Case   |   </w:t>
    </w:r>
    <w:r w:rsidRPr="00D17BFC">
      <w:rPr>
        <w:noProof w:val="0"/>
      </w:rPr>
      <w:fldChar w:fldCharType="begin"/>
    </w:r>
    <w:r w:rsidRPr="00D17BFC">
      <w:instrText xml:space="preserve"> PAGE </w:instrText>
    </w:r>
    <w:r w:rsidRPr="00D17BFC">
      <w:rPr>
        <w:noProof w:val="0"/>
      </w:rPr>
      <w:fldChar w:fldCharType="separate"/>
    </w:r>
    <w:r>
      <w:t>79</w:t>
    </w:r>
    <w:r w:rsidRPr="00D17BFC">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5CA3" w14:textId="32CBDCA3" w:rsidR="00993F59" w:rsidRPr="00D17BFC" w:rsidRDefault="00993F59" w:rsidP="00AE143F">
    <w:pPr>
      <w:pStyle w:val="Footer"/>
    </w:pPr>
    <w:r w:rsidRPr="00D17BFC">
      <w:rPr>
        <w:noProof w:val="0"/>
      </w:rPr>
      <w:fldChar w:fldCharType="begin"/>
    </w:r>
    <w:r w:rsidRPr="00D17BFC">
      <w:instrText xml:space="preserve"> PAGE </w:instrText>
    </w:r>
    <w:r w:rsidRPr="00D17BFC">
      <w:rPr>
        <w:noProof w:val="0"/>
      </w:rPr>
      <w:fldChar w:fldCharType="separate"/>
    </w:r>
    <w:r>
      <w:t>54</w:t>
    </w:r>
    <w:r w:rsidRPr="00D17BFC">
      <w:fldChar w:fldCharType="end"/>
    </w:r>
    <w:r w:rsidRPr="00D17BFC">
      <w:t xml:space="preserve">   |   Better Business Cases: Guide to Developing the Programme Business Case</w:t>
    </w:r>
    <w:r w:rsidRPr="00D17BFC">
      <w:tab/>
    </w:r>
    <w:r>
      <w:tab/>
    </w:r>
    <w:r>
      <w:tab/>
    </w:r>
    <w:r>
      <w:tab/>
    </w:r>
    <w:r>
      <w:tab/>
    </w:r>
    <w:r>
      <w:tab/>
    </w:r>
    <w:r>
      <w:tab/>
    </w:r>
    <w:r>
      <w:tab/>
    </w:r>
    <w:r>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3A0F" w14:textId="77777777" w:rsidR="00993F59" w:rsidRDefault="00993F59">
      <w:r>
        <w:separator/>
      </w:r>
    </w:p>
  </w:footnote>
  <w:footnote w:type="continuationSeparator" w:id="0">
    <w:p w14:paraId="4015CE22" w14:textId="77777777" w:rsidR="00993F59" w:rsidRDefault="00993F59">
      <w:r>
        <w:continuationSeparator/>
      </w:r>
    </w:p>
  </w:footnote>
  <w:footnote w:id="1">
    <w:p w14:paraId="15CAE7A8" w14:textId="1CB98331"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rPr>
          <w:lang w:val="en-NZ"/>
        </w:rPr>
        <w:tab/>
      </w:r>
      <w:r>
        <w:rPr>
          <w:lang w:val="en-NZ"/>
        </w:rPr>
        <w:tab/>
      </w:r>
      <w:r w:rsidRPr="00343A00">
        <w:rPr>
          <w:lang w:val="en-NZ"/>
        </w:rPr>
        <w:t>Within a programme, a</w:t>
      </w:r>
      <w:r w:rsidRPr="00343A00">
        <w:t xml:space="preserve"> group of projects, transition activities and governance structured around distinct step changes in capability and benefit delivery (Managing Successful Programmes)</w:t>
      </w:r>
    </w:p>
  </w:footnote>
  <w:footnote w:id="2">
    <w:p w14:paraId="2425CA9C" w14:textId="13EAA98C"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rPr>
          <w:lang w:val="en-NZ"/>
        </w:rPr>
        <w:tab/>
      </w:r>
      <w:r>
        <w:rPr>
          <w:lang w:val="en-NZ"/>
        </w:rPr>
        <w:tab/>
      </w:r>
      <w:hyperlink r:id="rId1" w:history="1">
        <w:r w:rsidRPr="00343A00">
          <w:rPr>
            <w:rStyle w:val="Hyperlink"/>
            <w:lang w:val="en-NZ"/>
          </w:rPr>
          <w:t>http://www.g20.utoronto.ca/2018/principles_for_infrastructure_project_preparation.pdf</w:t>
        </w:r>
      </w:hyperlink>
    </w:p>
  </w:footnote>
  <w:footnote w:id="3">
    <w:p w14:paraId="243BB732" w14:textId="2C7722EC"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tab/>
      </w:r>
      <w:r>
        <w:tab/>
      </w:r>
      <w:hyperlink r:id="rId2" w:history="1">
        <w:r w:rsidRPr="00343A00">
          <w:rPr>
            <w:rStyle w:val="Hyperlink"/>
          </w:rPr>
          <w:t>https://dpmc.govt.nz/publications/co-19-6-investment-management-and-asset-performance-state-services</w:t>
        </w:r>
      </w:hyperlink>
    </w:p>
  </w:footnote>
  <w:footnote w:id="4">
    <w:p w14:paraId="4A24B30A" w14:textId="71838103"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tab/>
      </w:r>
      <w:r>
        <w:tab/>
      </w:r>
      <w:hyperlink r:id="rId3" w:history="1">
        <w:r w:rsidRPr="00343A00">
          <w:rPr>
            <w:rStyle w:val="Hyperlink"/>
          </w:rPr>
          <w:t>https://treasury.govt.nz/information-and-services/nz-economy/higher-living-standards</w:t>
        </w:r>
      </w:hyperlink>
    </w:p>
  </w:footnote>
  <w:footnote w:id="5">
    <w:p w14:paraId="7CF55BBF" w14:textId="5CF942A7"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tab/>
      </w:r>
      <w:r>
        <w:tab/>
      </w:r>
      <w:hyperlink r:id="rId4" w:history="1">
        <w:r w:rsidRPr="00343A00">
          <w:rPr>
            <w:rStyle w:val="Hyperlink"/>
          </w:rPr>
          <w:t>https://www.procurement.govt.nz/broader-outcomes/</w:t>
        </w:r>
      </w:hyperlink>
      <w:r w:rsidRPr="00343A00">
        <w:rPr>
          <w:rStyle w:val="Hyperlink"/>
        </w:rPr>
        <w:t xml:space="preserve"> </w:t>
      </w:r>
    </w:p>
  </w:footnote>
  <w:footnote w:id="6">
    <w:p w14:paraId="66CFC70F" w14:textId="617EF687"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rPr>
          <w:lang w:val="en-NZ"/>
        </w:rPr>
        <w:tab/>
      </w:r>
      <w:r>
        <w:rPr>
          <w:lang w:val="en-NZ"/>
        </w:rPr>
        <w:tab/>
      </w:r>
      <w:hyperlink r:id="rId5" w:history="1">
        <w:r w:rsidRPr="00343A00">
          <w:rPr>
            <w:rStyle w:val="Hyperlink"/>
            <w:lang w:val="en-NZ"/>
          </w:rPr>
          <w:t>http://www.g20.utoronto.ca/2018/principles_for_infrastructure_project_preparation.pdf</w:t>
        </w:r>
      </w:hyperlink>
    </w:p>
  </w:footnote>
  <w:footnote w:id="7">
    <w:p w14:paraId="69C6A967" w14:textId="309AB8B6"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tab/>
      </w:r>
      <w:r>
        <w:tab/>
      </w:r>
      <w:hyperlink r:id="rId6" w:history="1">
        <w:r w:rsidRPr="00343A00">
          <w:rPr>
            <w:rStyle w:val="Hyperlink"/>
          </w:rPr>
          <w:t>https://treasury.govt.nz/information-and-services/state-sector-leadership/investment-management/think-investment-possibilities/risk-profile-assessment</w:t>
        </w:r>
      </w:hyperlink>
      <w:r w:rsidRPr="00343A00">
        <w:t xml:space="preserve"> </w:t>
      </w:r>
    </w:p>
  </w:footnote>
  <w:footnote w:id="8">
    <w:p w14:paraId="7A8769F8" w14:textId="3AACD950"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tab/>
      </w:r>
      <w:r>
        <w:tab/>
      </w:r>
      <w:hyperlink r:id="rId7" w:history="1">
        <w:r w:rsidRPr="00343A00">
          <w:rPr>
            <w:rStyle w:val="Hyperlink"/>
          </w:rPr>
          <w:t>https://dpmc.govt.nz/publications/co-19-6-investment-management-and-asset-performance-state-services</w:t>
        </w:r>
      </w:hyperlink>
    </w:p>
  </w:footnote>
  <w:footnote w:id="9">
    <w:p w14:paraId="055DB17C" w14:textId="14199893"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tab/>
      </w:r>
      <w:r>
        <w:tab/>
      </w:r>
      <w:hyperlink r:id="rId8" w:history="1">
        <w:r w:rsidRPr="00343A00">
          <w:rPr>
            <w:rStyle w:val="Hyperlink"/>
          </w:rPr>
          <w:t>https://treasury.govt.nz/information-and-services/nz-economy/higher-living-standards</w:t>
        </w:r>
      </w:hyperlink>
    </w:p>
  </w:footnote>
  <w:footnote w:id="10">
    <w:p w14:paraId="766E8616" w14:textId="34FEEFF5"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tab/>
      </w:r>
      <w:r>
        <w:tab/>
      </w:r>
      <w:hyperlink r:id="rId9" w:history="1">
        <w:r w:rsidRPr="00343A00">
          <w:rPr>
            <w:rStyle w:val="Hyperlink"/>
          </w:rPr>
          <w:t>https://www.procurement.govt.nz/broader-outcomes/</w:t>
        </w:r>
      </w:hyperlink>
    </w:p>
  </w:footnote>
  <w:footnote w:id="11">
    <w:p w14:paraId="091AE1FF" w14:textId="33485874" w:rsidR="00993F59" w:rsidRPr="00343A00" w:rsidRDefault="00993F59" w:rsidP="00343A00">
      <w:pPr>
        <w:pStyle w:val="FootnoteText"/>
        <w:ind w:left="425" w:hanging="425"/>
        <w:rPr>
          <w:lang w:val="en-NZ"/>
        </w:rPr>
      </w:pPr>
      <w:r w:rsidRPr="00343A00">
        <w:rPr>
          <w:rStyle w:val="FootnoteReference"/>
        </w:rPr>
        <w:footnoteRef/>
      </w:r>
      <w:r w:rsidRPr="00343A00">
        <w:t xml:space="preserve"> </w:t>
      </w:r>
      <w:r w:rsidRPr="00343A00">
        <w:rPr>
          <w:lang w:val="en-NZ"/>
        </w:rPr>
        <w:tab/>
      </w:r>
      <w:r>
        <w:rPr>
          <w:lang w:val="en-NZ"/>
        </w:rPr>
        <w:tab/>
      </w:r>
      <w:hyperlink r:id="rId10" w:history="1">
        <w:r w:rsidRPr="00343A00">
          <w:rPr>
            <w:rStyle w:val="Hyperlink"/>
            <w:lang w:val="en-NZ"/>
          </w:rPr>
          <w:t>http://www.g20.utoronto.ca/2018/principles_for_infrastructure_project_preparation.pdf</w:t>
        </w:r>
      </w:hyperlink>
    </w:p>
  </w:footnote>
  <w:footnote w:id="12">
    <w:p w14:paraId="675CAB9B" w14:textId="79763ACC" w:rsidR="00993F59" w:rsidRPr="00107DE4" w:rsidRDefault="00993F59" w:rsidP="00343A00">
      <w:pPr>
        <w:pStyle w:val="FootnoteText"/>
        <w:ind w:left="425" w:hanging="425"/>
        <w:rPr>
          <w:lang w:val="en-NZ"/>
        </w:rPr>
      </w:pPr>
      <w:r w:rsidRPr="00343A00">
        <w:rPr>
          <w:rStyle w:val="FootnoteReference"/>
        </w:rPr>
        <w:footnoteRef/>
      </w:r>
      <w:r w:rsidRPr="00343A00">
        <w:t xml:space="preserve"> </w:t>
      </w:r>
      <w:r w:rsidRPr="00343A00">
        <w:rPr>
          <w:lang w:val="en-NZ"/>
        </w:rPr>
        <w:tab/>
      </w:r>
      <w:r>
        <w:rPr>
          <w:lang w:val="en-NZ"/>
        </w:rPr>
        <w:tab/>
      </w:r>
      <w:hyperlink r:id="rId11" w:history="1">
        <w:r w:rsidRPr="00343A00">
          <w:rPr>
            <w:rStyle w:val="Hyperlink"/>
          </w:rPr>
          <w:t>https://dpmc.govt.nz/publications/co-19-6-investment-management-and-asset-performance-state-services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0719" w14:textId="77777777" w:rsidR="00993F59" w:rsidRPr="00DB4A5A" w:rsidRDefault="00993F59" w:rsidP="00DB4A5A">
    <w:pPr>
      <w:spacing w:after="0"/>
      <w:rPr>
        <w:color w:val="002469"/>
        <w:spacing w:val="6"/>
        <w:sz w:val="20"/>
      </w:rPr>
    </w:pPr>
    <w:r w:rsidRPr="007F3EE2">
      <w:rPr>
        <w:color w:val="002469"/>
        <w:spacing w:val="6"/>
        <w:sz w:val="20"/>
      </w:rPr>
      <w:t xml:space="preserve">&lt;Agency name&gt;: &lt;Project or </w:t>
    </w:r>
    <w:proofErr w:type="spellStart"/>
    <w:r w:rsidRPr="007F3EE2">
      <w:rPr>
        <w:color w:val="002469"/>
        <w:spacing w:val="6"/>
        <w:sz w:val="20"/>
      </w:rPr>
      <w:t>Programme</w:t>
    </w:r>
    <w:r>
      <w:rPr>
        <w:color w:val="002469"/>
        <w:spacing w:val="6"/>
        <w:sz w:val="20"/>
      </w:rPr>
      <w:t>&amp;Tranche</w:t>
    </w:r>
    <w:proofErr w:type="spellEnd"/>
    <w:r w:rsidRPr="007F3EE2">
      <w:rPr>
        <w:color w:val="002469"/>
        <w:spacing w:val="6"/>
        <w:sz w:val="20"/>
      </w:rPr>
      <w:t xml:space="preserve"> Name&gt;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521F" w14:textId="61D0DE33" w:rsidR="00993F59" w:rsidRPr="00B73090" w:rsidRDefault="00993F59" w:rsidP="00B73090">
    <w:pPr>
      <w:spacing w:after="0"/>
      <w:jc w:val="right"/>
      <w:rPr>
        <w:color w:val="002469"/>
        <w:spacing w:val="6"/>
        <w:sz w:val="20"/>
      </w:rPr>
    </w:pPr>
    <w:r w:rsidRPr="007F3EE2">
      <w:rPr>
        <w:color w:val="002469"/>
        <w:spacing w:val="6"/>
        <w:sz w:val="20"/>
      </w:rPr>
      <w:t xml:space="preserve">&lt;Agency name&gt;: &lt;Project or </w:t>
    </w:r>
    <w:proofErr w:type="spellStart"/>
    <w:r w:rsidRPr="007F3EE2">
      <w:rPr>
        <w:color w:val="002469"/>
        <w:spacing w:val="6"/>
        <w:sz w:val="20"/>
      </w:rPr>
      <w:t>Programme</w:t>
    </w:r>
    <w:r>
      <w:rPr>
        <w:color w:val="002469"/>
        <w:spacing w:val="6"/>
        <w:sz w:val="20"/>
      </w:rPr>
      <w:t>&amp;Tranche</w:t>
    </w:r>
    <w:proofErr w:type="spellEnd"/>
    <w:r w:rsidRPr="007F3EE2">
      <w:rPr>
        <w:color w:val="002469"/>
        <w:spacing w:val="6"/>
        <w:sz w:val="20"/>
      </w:rPr>
      <w:t xml:space="preserve"> Name&gt;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5624" w14:textId="77777777" w:rsidR="00993F59" w:rsidRDefault="00993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BCA7" w14:textId="24E93E4B" w:rsidR="00993F59" w:rsidRPr="00DB4A5A" w:rsidRDefault="00993F59" w:rsidP="00DB4A5A">
    <w:pPr>
      <w:spacing w:after="0"/>
      <w:rPr>
        <w:color w:val="002469"/>
        <w:spacing w:val="6"/>
        <w:sz w:val="20"/>
      </w:rPr>
    </w:pPr>
    <w:r w:rsidRPr="007F3EE2">
      <w:rPr>
        <w:color w:val="002469"/>
        <w:spacing w:val="6"/>
        <w:sz w:val="20"/>
      </w:rPr>
      <w:t xml:space="preserve">&lt;Agency name&gt;: &lt;Project or </w:t>
    </w:r>
    <w:proofErr w:type="spellStart"/>
    <w:r w:rsidRPr="007F3EE2">
      <w:rPr>
        <w:color w:val="002469"/>
        <w:spacing w:val="6"/>
        <w:sz w:val="20"/>
      </w:rPr>
      <w:t>Programme</w:t>
    </w:r>
    <w:r>
      <w:rPr>
        <w:color w:val="002469"/>
        <w:spacing w:val="6"/>
        <w:sz w:val="20"/>
      </w:rPr>
      <w:t>&amp;Tranche</w:t>
    </w:r>
    <w:proofErr w:type="spellEnd"/>
    <w:r w:rsidRPr="007F3EE2">
      <w:rPr>
        <w:color w:val="002469"/>
        <w:spacing w:val="6"/>
        <w:sz w:val="20"/>
      </w:rPr>
      <w:t xml:space="preserve"> Name&gt;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AC32" w14:textId="77777777" w:rsidR="00993F59" w:rsidRPr="009220D0" w:rsidRDefault="00993F59" w:rsidP="009220D0">
    <w:pPr>
      <w:pStyle w:val="Header"/>
      <w:tabs>
        <w:tab w:val="clear" w:pos="4153"/>
        <w:tab w:val="clear" w:pos="8306"/>
        <w:tab w:val="center" w:pos="7371"/>
        <w:tab w:val="right" w:pos="9071"/>
      </w:tabs>
      <w:rPr>
        <w:b/>
        <w:i/>
      </w:rPr>
    </w:pPr>
    <w:r w:rsidRPr="00A02974">
      <w:rPr>
        <w:b/>
        <w:i/>
        <w:highlight w:val="yellow"/>
      </w:rPr>
      <w:t>GUIDANCE – DELETE ON COMPLETION OF THE BC TEMPLATE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9592" w14:textId="77777777" w:rsidR="00993F59" w:rsidRPr="00DB0F80" w:rsidRDefault="00993F59" w:rsidP="00DB0F80">
    <w:pPr>
      <w:pStyle w:val="Header"/>
      <w:tabs>
        <w:tab w:val="clear" w:pos="4153"/>
        <w:tab w:val="clear" w:pos="8306"/>
        <w:tab w:val="center" w:pos="7371"/>
        <w:tab w:val="right" w:pos="9071"/>
      </w:tabs>
      <w:rPr>
        <w:b/>
        <w:i/>
      </w:rPr>
    </w:pPr>
    <w:r w:rsidRPr="00A02974">
      <w:rPr>
        <w:b/>
        <w:i/>
        <w:highlight w:val="yellow"/>
      </w:rPr>
      <w:t>GUIDANCE – DELETE ON COMPLETION OF THE BC TEMPLATE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3892" w14:textId="77777777" w:rsidR="00993F59" w:rsidRPr="00DB0F80" w:rsidRDefault="00993F59" w:rsidP="00DB0F80">
    <w:pPr>
      <w:pStyle w:val="Header"/>
      <w:tabs>
        <w:tab w:val="clear" w:pos="4153"/>
        <w:tab w:val="clear" w:pos="8306"/>
        <w:tab w:val="center" w:pos="7371"/>
        <w:tab w:val="right" w:pos="9071"/>
      </w:tabs>
      <w:rPr>
        <w:b/>
        <w:i/>
      </w:rPr>
    </w:pPr>
    <w:r w:rsidRPr="00A579F8">
      <w:rPr>
        <w:b/>
        <w:i/>
        <w:highlight w:val="yellow"/>
      </w:rPr>
      <w:t>GUID</w:t>
    </w:r>
    <w:r>
      <w:rPr>
        <w:b/>
        <w:i/>
        <w:highlight w:val="yellow"/>
      </w:rPr>
      <w:t>ANCE – DELETE ON COMPLETION OF PBC</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90B8" w14:textId="77777777" w:rsidR="00993F59" w:rsidRPr="00F16438" w:rsidRDefault="00993F59" w:rsidP="009220D0">
    <w:pPr>
      <w:pStyle w:val="Header"/>
      <w:tabs>
        <w:tab w:val="clear" w:pos="4153"/>
        <w:tab w:val="clear" w:pos="8306"/>
        <w:tab w:val="center" w:pos="7371"/>
        <w:tab w:val="right" w:pos="9071"/>
      </w:tabs>
      <w:rPr>
        <w:b/>
        <w:i/>
      </w:rPr>
    </w:pPr>
    <w:r w:rsidRPr="00A02974">
      <w:rPr>
        <w:b/>
        <w:i/>
        <w:highlight w:val="yellow"/>
      </w:rPr>
      <w:t>GUIDANCE – DELETE ON COMPLETION OF THE BC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D7C"/>
    <w:multiLevelType w:val="hybridMultilevel"/>
    <w:tmpl w:val="FDC07A54"/>
    <w:lvl w:ilvl="0" w:tplc="71483FE0">
      <w:start w:val="1"/>
      <w:numFmt w:val="bullet"/>
      <w:pStyle w:val="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4D4B46"/>
    <w:multiLevelType w:val="hybridMultilevel"/>
    <w:tmpl w:val="F83242F2"/>
    <w:lvl w:ilvl="0" w:tplc="11401578">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9751A0"/>
    <w:multiLevelType w:val="hybridMultilevel"/>
    <w:tmpl w:val="7FAA0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1A33D7"/>
    <w:multiLevelType w:val="hybridMultilevel"/>
    <w:tmpl w:val="D6D8B5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C014FF"/>
    <w:multiLevelType w:val="hybridMultilevel"/>
    <w:tmpl w:val="5B1E056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CD9010B"/>
    <w:multiLevelType w:val="hybridMultilevel"/>
    <w:tmpl w:val="49080478"/>
    <w:lvl w:ilvl="0" w:tplc="A544D0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FC05CB"/>
    <w:multiLevelType w:val="hybridMultilevel"/>
    <w:tmpl w:val="D66ED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24179A"/>
    <w:multiLevelType w:val="hybridMultilevel"/>
    <w:tmpl w:val="BD26D1B2"/>
    <w:lvl w:ilvl="0" w:tplc="3F6465CC">
      <w:start w:val="1"/>
      <w:numFmt w:val="decimal"/>
      <w:pStyle w:val="Numberedlistpar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F310843"/>
    <w:multiLevelType w:val="hybridMultilevel"/>
    <w:tmpl w:val="49080478"/>
    <w:lvl w:ilvl="0" w:tplc="A544D03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F4200D5"/>
    <w:multiLevelType w:val="hybridMultilevel"/>
    <w:tmpl w:val="30E89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D1260E"/>
    <w:multiLevelType w:val="hybridMultilevel"/>
    <w:tmpl w:val="50567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25B6212"/>
    <w:multiLevelType w:val="hybridMultilevel"/>
    <w:tmpl w:val="1C2C405A"/>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2" w15:restartNumberingAfterBreak="0">
    <w:nsid w:val="177D5054"/>
    <w:multiLevelType w:val="hybridMultilevel"/>
    <w:tmpl w:val="8654D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135319"/>
    <w:multiLevelType w:val="hybridMultilevel"/>
    <w:tmpl w:val="4894EB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BF6517C"/>
    <w:multiLevelType w:val="hybridMultilevel"/>
    <w:tmpl w:val="9A1CD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A7469C"/>
    <w:multiLevelType w:val="hybridMultilevel"/>
    <w:tmpl w:val="231E8F0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229A1A82"/>
    <w:multiLevelType w:val="hybridMultilevel"/>
    <w:tmpl w:val="7D1AC93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63214DC"/>
    <w:multiLevelType w:val="hybridMultilevel"/>
    <w:tmpl w:val="039CB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FF58B6"/>
    <w:multiLevelType w:val="hybridMultilevel"/>
    <w:tmpl w:val="12084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AD1ED8"/>
    <w:multiLevelType w:val="hybridMultilevel"/>
    <w:tmpl w:val="973A00E8"/>
    <w:lvl w:ilvl="0" w:tplc="18B685C6">
      <w:numFmt w:val="bullet"/>
      <w:pStyle w:val="Boxbullet"/>
      <w:lvlText w:val="•"/>
      <w:lvlJc w:val="left"/>
      <w:pPr>
        <w:ind w:left="570" w:hanging="57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E6E756A"/>
    <w:multiLevelType w:val="hybridMultilevel"/>
    <w:tmpl w:val="76843ED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169568A"/>
    <w:multiLevelType w:val="hybridMultilevel"/>
    <w:tmpl w:val="5F1AE50C"/>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3BC6F77"/>
    <w:multiLevelType w:val="hybridMultilevel"/>
    <w:tmpl w:val="CED2C770"/>
    <w:lvl w:ilvl="0" w:tplc="14090001">
      <w:start w:val="1"/>
      <w:numFmt w:val="bullet"/>
      <w:lvlText w:val=""/>
      <w:lvlJc w:val="left"/>
      <w:pPr>
        <w:ind w:left="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3" w15:restartNumberingAfterBreak="0">
    <w:nsid w:val="34DC1F8D"/>
    <w:multiLevelType w:val="hybridMultilevel"/>
    <w:tmpl w:val="1EE80706"/>
    <w:lvl w:ilvl="0" w:tplc="C1266F02">
      <w:start w:val="1"/>
      <w:numFmt w:val="bullet"/>
      <w:pStyle w:val="ListParagraph"/>
      <w:lvlText w:val=""/>
      <w:lvlJc w:val="left"/>
      <w:pPr>
        <w:ind w:left="873" w:hanging="360"/>
      </w:pPr>
      <w:rPr>
        <w:rFonts w:ascii="Symbol" w:hAnsi="Symbol" w:hint="default"/>
      </w:rPr>
    </w:lvl>
    <w:lvl w:ilvl="1" w:tplc="14090003">
      <w:start w:val="1"/>
      <w:numFmt w:val="bullet"/>
      <w:lvlText w:val="o"/>
      <w:lvlJc w:val="left"/>
      <w:pPr>
        <w:ind w:left="1593" w:hanging="360"/>
      </w:pPr>
      <w:rPr>
        <w:rFonts w:ascii="Courier New" w:hAnsi="Courier New" w:cs="Courier New" w:hint="default"/>
      </w:rPr>
    </w:lvl>
    <w:lvl w:ilvl="2" w:tplc="14090005">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24" w15:restartNumberingAfterBreak="0">
    <w:nsid w:val="35720A24"/>
    <w:multiLevelType w:val="hybridMultilevel"/>
    <w:tmpl w:val="8CBA2A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699582E"/>
    <w:multiLevelType w:val="hybridMultilevel"/>
    <w:tmpl w:val="49906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8DE5A8D"/>
    <w:multiLevelType w:val="hybridMultilevel"/>
    <w:tmpl w:val="420E7454"/>
    <w:lvl w:ilvl="0" w:tplc="D52CA4FC">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BD93893"/>
    <w:multiLevelType w:val="hybridMultilevel"/>
    <w:tmpl w:val="4484DA3E"/>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8" w15:restartNumberingAfterBreak="0">
    <w:nsid w:val="3BF31E27"/>
    <w:multiLevelType w:val="hybridMultilevel"/>
    <w:tmpl w:val="E37EDD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0C80CAC"/>
    <w:multiLevelType w:val="hybridMultilevel"/>
    <w:tmpl w:val="BD423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31E1A75"/>
    <w:multiLevelType w:val="hybridMultilevel"/>
    <w:tmpl w:val="7A68632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1" w15:restartNumberingAfterBreak="0">
    <w:nsid w:val="463A510D"/>
    <w:multiLevelType w:val="hybridMultilevel"/>
    <w:tmpl w:val="25BC2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7BD61CF"/>
    <w:multiLevelType w:val="hybridMultilevel"/>
    <w:tmpl w:val="35A8E8D6"/>
    <w:lvl w:ilvl="0" w:tplc="993E656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E263AB0"/>
    <w:multiLevelType w:val="hybridMultilevel"/>
    <w:tmpl w:val="491051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F33148D"/>
    <w:multiLevelType w:val="hybridMultilevel"/>
    <w:tmpl w:val="3D684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1E9214D"/>
    <w:multiLevelType w:val="hybridMultilevel"/>
    <w:tmpl w:val="8654D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B934F4"/>
    <w:multiLevelType w:val="hybridMultilevel"/>
    <w:tmpl w:val="899CA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61A693C"/>
    <w:multiLevelType w:val="hybridMultilevel"/>
    <w:tmpl w:val="C8423C5E"/>
    <w:lvl w:ilvl="0" w:tplc="41F4BD7E">
      <w:start w:val="1"/>
      <w:numFmt w:val="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3A7FB1"/>
    <w:multiLevelType w:val="hybridMultilevel"/>
    <w:tmpl w:val="06822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8947A83"/>
    <w:multiLevelType w:val="hybridMultilevel"/>
    <w:tmpl w:val="B1A81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D57142F"/>
    <w:multiLevelType w:val="hybridMultilevel"/>
    <w:tmpl w:val="6688E190"/>
    <w:lvl w:ilvl="0" w:tplc="14090001">
      <w:start w:val="1"/>
      <w:numFmt w:val="bullet"/>
      <w:lvlText w:val=""/>
      <w:lvlJc w:val="left"/>
      <w:pPr>
        <w:ind w:left="4614"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EBB00BB"/>
    <w:multiLevelType w:val="hybridMultilevel"/>
    <w:tmpl w:val="6A3E5B74"/>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42" w15:restartNumberingAfterBreak="0">
    <w:nsid w:val="62010926"/>
    <w:multiLevelType w:val="hybridMultilevel"/>
    <w:tmpl w:val="437437C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3" w15:restartNumberingAfterBreak="0">
    <w:nsid w:val="6C793174"/>
    <w:multiLevelType w:val="hybridMultilevel"/>
    <w:tmpl w:val="D0D29466"/>
    <w:lvl w:ilvl="0" w:tplc="8E6C55D8">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CF0784C"/>
    <w:multiLevelType w:val="hybridMultilevel"/>
    <w:tmpl w:val="34945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50A5C11"/>
    <w:multiLevelType w:val="hybridMultilevel"/>
    <w:tmpl w:val="706A0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B8C7A57"/>
    <w:multiLevelType w:val="hybridMultilevel"/>
    <w:tmpl w:val="59AA3F4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7C9538AA"/>
    <w:multiLevelType w:val="hybridMultilevel"/>
    <w:tmpl w:val="85520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40"/>
  </w:num>
  <w:num w:numId="4">
    <w:abstractNumId w:val="37"/>
  </w:num>
  <w:num w:numId="5">
    <w:abstractNumId w:val="26"/>
  </w:num>
  <w:num w:numId="6">
    <w:abstractNumId w:val="31"/>
  </w:num>
  <w:num w:numId="7">
    <w:abstractNumId w:val="2"/>
  </w:num>
  <w:num w:numId="8">
    <w:abstractNumId w:val="5"/>
  </w:num>
  <w:num w:numId="9">
    <w:abstractNumId w:val="24"/>
  </w:num>
  <w:num w:numId="10">
    <w:abstractNumId w:val="46"/>
  </w:num>
  <w:num w:numId="11">
    <w:abstractNumId w:val="4"/>
  </w:num>
  <w:num w:numId="12">
    <w:abstractNumId w:val="13"/>
  </w:num>
  <w:num w:numId="13">
    <w:abstractNumId w:val="34"/>
  </w:num>
  <w:num w:numId="14">
    <w:abstractNumId w:val="18"/>
  </w:num>
  <w:num w:numId="15">
    <w:abstractNumId w:val="19"/>
  </w:num>
  <w:num w:numId="16">
    <w:abstractNumId w:val="7"/>
  </w:num>
  <w:num w:numId="17">
    <w:abstractNumId w:val="36"/>
  </w:num>
  <w:num w:numId="18">
    <w:abstractNumId w:val="8"/>
  </w:num>
  <w:num w:numId="19">
    <w:abstractNumId w:val="17"/>
  </w:num>
  <w:num w:numId="20">
    <w:abstractNumId w:val="28"/>
  </w:num>
  <w:num w:numId="21">
    <w:abstractNumId w:val="22"/>
  </w:num>
  <w:num w:numId="22">
    <w:abstractNumId w:val="47"/>
  </w:num>
  <w:num w:numId="23">
    <w:abstractNumId w:val="3"/>
  </w:num>
  <w:num w:numId="24">
    <w:abstractNumId w:val="44"/>
  </w:num>
  <w:num w:numId="25">
    <w:abstractNumId w:val="41"/>
  </w:num>
  <w:num w:numId="26">
    <w:abstractNumId w:val="16"/>
  </w:num>
  <w:num w:numId="27">
    <w:abstractNumId w:val="25"/>
  </w:num>
  <w:num w:numId="28">
    <w:abstractNumId w:val="11"/>
  </w:num>
  <w:num w:numId="29">
    <w:abstractNumId w:val="32"/>
  </w:num>
  <w:num w:numId="30">
    <w:abstractNumId w:val="33"/>
  </w:num>
  <w:num w:numId="31">
    <w:abstractNumId w:val="10"/>
  </w:num>
  <w:num w:numId="32">
    <w:abstractNumId w:val="30"/>
  </w:num>
  <w:num w:numId="33">
    <w:abstractNumId w:val="21"/>
  </w:num>
  <w:num w:numId="34">
    <w:abstractNumId w:val="9"/>
  </w:num>
  <w:num w:numId="35">
    <w:abstractNumId w:val="14"/>
  </w:num>
  <w:num w:numId="36">
    <w:abstractNumId w:val="27"/>
  </w:num>
  <w:num w:numId="37">
    <w:abstractNumId w:val="38"/>
  </w:num>
  <w:num w:numId="38">
    <w:abstractNumId w:val="29"/>
  </w:num>
  <w:num w:numId="39">
    <w:abstractNumId w:val="42"/>
  </w:num>
  <w:num w:numId="40">
    <w:abstractNumId w:val="6"/>
  </w:num>
  <w:num w:numId="41">
    <w:abstractNumId w:val="45"/>
  </w:num>
  <w:num w:numId="42">
    <w:abstractNumId w:val="35"/>
  </w:num>
  <w:num w:numId="43">
    <w:abstractNumId w:val="12"/>
  </w:num>
  <w:num w:numId="44">
    <w:abstractNumId w:val="1"/>
  </w:num>
  <w:num w:numId="45">
    <w:abstractNumId w:val="39"/>
  </w:num>
  <w:num w:numId="46">
    <w:abstractNumId w:val="20"/>
  </w:num>
  <w:num w:numId="47">
    <w:abstractNumId w:val="15"/>
  </w:num>
  <w:num w:numId="48">
    <w:abstractNumId w:val="43"/>
  </w:num>
  <w:num w:numId="49">
    <w:abstractNumId w:val="23"/>
  </w:num>
  <w:num w:numId="50">
    <w:abstractNumId w:val="23"/>
  </w:num>
  <w:num w:numId="51">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embedSystemFonts/>
  <w:proofState w:spelling="clean" w:grammar="clean"/>
  <w:stylePaneSortMethod w:val="0000"/>
  <w:defaultTabStop w:val="567"/>
  <w:doNotHyphenateCaps/>
  <w:evenAndOddHeaders/>
  <w:drawingGridHorizontalSpacing w:val="110"/>
  <w:displayHorizontalDrawingGridEvery w:val="0"/>
  <w:displayVerticalDrawingGridEvery w:val="0"/>
  <w:characterSpacingControl w:val="doNotCompress"/>
  <w:hdrShapeDefaults>
    <o:shapedefaults v:ext="edit" spidmax="4097">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51"/>
    <w:rsid w:val="00000BE4"/>
    <w:rsid w:val="00001539"/>
    <w:rsid w:val="0000175F"/>
    <w:rsid w:val="00001C49"/>
    <w:rsid w:val="00001FD6"/>
    <w:rsid w:val="000020EC"/>
    <w:rsid w:val="000022B1"/>
    <w:rsid w:val="00002433"/>
    <w:rsid w:val="00002808"/>
    <w:rsid w:val="00003259"/>
    <w:rsid w:val="0000370B"/>
    <w:rsid w:val="00003A84"/>
    <w:rsid w:val="0000483B"/>
    <w:rsid w:val="00004887"/>
    <w:rsid w:val="00004A8A"/>
    <w:rsid w:val="00005CF8"/>
    <w:rsid w:val="00005DC9"/>
    <w:rsid w:val="00005E7B"/>
    <w:rsid w:val="0000685F"/>
    <w:rsid w:val="00006AA1"/>
    <w:rsid w:val="0000707B"/>
    <w:rsid w:val="0000747C"/>
    <w:rsid w:val="00010986"/>
    <w:rsid w:val="00010EF0"/>
    <w:rsid w:val="00010F7D"/>
    <w:rsid w:val="00011090"/>
    <w:rsid w:val="00011379"/>
    <w:rsid w:val="000121FF"/>
    <w:rsid w:val="00012299"/>
    <w:rsid w:val="000125A8"/>
    <w:rsid w:val="000127D8"/>
    <w:rsid w:val="000136B5"/>
    <w:rsid w:val="00013979"/>
    <w:rsid w:val="00013A18"/>
    <w:rsid w:val="00014196"/>
    <w:rsid w:val="000147DC"/>
    <w:rsid w:val="00014B6D"/>
    <w:rsid w:val="00014CB6"/>
    <w:rsid w:val="00014F29"/>
    <w:rsid w:val="00015072"/>
    <w:rsid w:val="00015100"/>
    <w:rsid w:val="00015300"/>
    <w:rsid w:val="00015F32"/>
    <w:rsid w:val="0001646C"/>
    <w:rsid w:val="00016722"/>
    <w:rsid w:val="00016B80"/>
    <w:rsid w:val="00016F7E"/>
    <w:rsid w:val="000170B3"/>
    <w:rsid w:val="00017202"/>
    <w:rsid w:val="0001733F"/>
    <w:rsid w:val="000173FC"/>
    <w:rsid w:val="00017A8F"/>
    <w:rsid w:val="000204C5"/>
    <w:rsid w:val="0002068B"/>
    <w:rsid w:val="00020B95"/>
    <w:rsid w:val="00020D1C"/>
    <w:rsid w:val="00020D6A"/>
    <w:rsid w:val="00021109"/>
    <w:rsid w:val="000213B5"/>
    <w:rsid w:val="00021543"/>
    <w:rsid w:val="00021B4D"/>
    <w:rsid w:val="00021D8D"/>
    <w:rsid w:val="00022185"/>
    <w:rsid w:val="0002225D"/>
    <w:rsid w:val="00023162"/>
    <w:rsid w:val="000232EB"/>
    <w:rsid w:val="000232F8"/>
    <w:rsid w:val="0002367B"/>
    <w:rsid w:val="00023BAB"/>
    <w:rsid w:val="00023EA6"/>
    <w:rsid w:val="00024623"/>
    <w:rsid w:val="00024ACE"/>
    <w:rsid w:val="00024BCD"/>
    <w:rsid w:val="00024D1D"/>
    <w:rsid w:val="00024E9C"/>
    <w:rsid w:val="0002568E"/>
    <w:rsid w:val="00025778"/>
    <w:rsid w:val="00025954"/>
    <w:rsid w:val="00025B1F"/>
    <w:rsid w:val="00025EF6"/>
    <w:rsid w:val="00026093"/>
    <w:rsid w:val="00026248"/>
    <w:rsid w:val="00027DAC"/>
    <w:rsid w:val="000305EC"/>
    <w:rsid w:val="000306C1"/>
    <w:rsid w:val="00030B7B"/>
    <w:rsid w:val="00030DEA"/>
    <w:rsid w:val="000311C7"/>
    <w:rsid w:val="000314AC"/>
    <w:rsid w:val="0003254E"/>
    <w:rsid w:val="00032FDB"/>
    <w:rsid w:val="00033223"/>
    <w:rsid w:val="00033950"/>
    <w:rsid w:val="00033DF5"/>
    <w:rsid w:val="00033E28"/>
    <w:rsid w:val="0003425E"/>
    <w:rsid w:val="000343E7"/>
    <w:rsid w:val="00034597"/>
    <w:rsid w:val="00034864"/>
    <w:rsid w:val="00035185"/>
    <w:rsid w:val="0003530F"/>
    <w:rsid w:val="00035492"/>
    <w:rsid w:val="00035A3B"/>
    <w:rsid w:val="00035AE1"/>
    <w:rsid w:val="00035B7C"/>
    <w:rsid w:val="00035F3D"/>
    <w:rsid w:val="00036A3D"/>
    <w:rsid w:val="00036EE4"/>
    <w:rsid w:val="000379D0"/>
    <w:rsid w:val="00037CD4"/>
    <w:rsid w:val="00037CD9"/>
    <w:rsid w:val="00037EC3"/>
    <w:rsid w:val="00040AA5"/>
    <w:rsid w:val="00041469"/>
    <w:rsid w:val="00041A94"/>
    <w:rsid w:val="00042BA5"/>
    <w:rsid w:val="000435AD"/>
    <w:rsid w:val="00043E96"/>
    <w:rsid w:val="000441CB"/>
    <w:rsid w:val="0004505A"/>
    <w:rsid w:val="0004511B"/>
    <w:rsid w:val="00045AFC"/>
    <w:rsid w:val="00045C2A"/>
    <w:rsid w:val="00045EDD"/>
    <w:rsid w:val="0004738D"/>
    <w:rsid w:val="00047442"/>
    <w:rsid w:val="00047559"/>
    <w:rsid w:val="00047B3B"/>
    <w:rsid w:val="00047D62"/>
    <w:rsid w:val="0005090F"/>
    <w:rsid w:val="00050CE0"/>
    <w:rsid w:val="00051C12"/>
    <w:rsid w:val="000523FC"/>
    <w:rsid w:val="000526E4"/>
    <w:rsid w:val="000529FB"/>
    <w:rsid w:val="00053B8F"/>
    <w:rsid w:val="00053BBE"/>
    <w:rsid w:val="0005407E"/>
    <w:rsid w:val="0005434D"/>
    <w:rsid w:val="00054890"/>
    <w:rsid w:val="00054E95"/>
    <w:rsid w:val="0005503E"/>
    <w:rsid w:val="00055373"/>
    <w:rsid w:val="000560FC"/>
    <w:rsid w:val="00056263"/>
    <w:rsid w:val="000565B9"/>
    <w:rsid w:val="000566E8"/>
    <w:rsid w:val="00056A98"/>
    <w:rsid w:val="00056DA0"/>
    <w:rsid w:val="00056F77"/>
    <w:rsid w:val="00057273"/>
    <w:rsid w:val="000576B1"/>
    <w:rsid w:val="000577A4"/>
    <w:rsid w:val="00057AC4"/>
    <w:rsid w:val="00057EFF"/>
    <w:rsid w:val="000606D4"/>
    <w:rsid w:val="00060AAB"/>
    <w:rsid w:val="00060C05"/>
    <w:rsid w:val="00060CD3"/>
    <w:rsid w:val="00061836"/>
    <w:rsid w:val="00061E58"/>
    <w:rsid w:val="000625C5"/>
    <w:rsid w:val="00062673"/>
    <w:rsid w:val="000629E3"/>
    <w:rsid w:val="00062BA9"/>
    <w:rsid w:val="00062CC3"/>
    <w:rsid w:val="00062F59"/>
    <w:rsid w:val="00062FF1"/>
    <w:rsid w:val="00063339"/>
    <w:rsid w:val="000633F1"/>
    <w:rsid w:val="000634EE"/>
    <w:rsid w:val="00063571"/>
    <w:rsid w:val="0006412A"/>
    <w:rsid w:val="00064751"/>
    <w:rsid w:val="000655B2"/>
    <w:rsid w:val="00066C62"/>
    <w:rsid w:val="000670EF"/>
    <w:rsid w:val="00067263"/>
    <w:rsid w:val="00070193"/>
    <w:rsid w:val="0007120E"/>
    <w:rsid w:val="0007124A"/>
    <w:rsid w:val="00071761"/>
    <w:rsid w:val="0007176C"/>
    <w:rsid w:val="00072104"/>
    <w:rsid w:val="000723DE"/>
    <w:rsid w:val="0007315F"/>
    <w:rsid w:val="00073252"/>
    <w:rsid w:val="000732E1"/>
    <w:rsid w:val="00073558"/>
    <w:rsid w:val="000738BC"/>
    <w:rsid w:val="0007397F"/>
    <w:rsid w:val="00073A19"/>
    <w:rsid w:val="00073F31"/>
    <w:rsid w:val="000740B3"/>
    <w:rsid w:val="00074149"/>
    <w:rsid w:val="000746DE"/>
    <w:rsid w:val="00074B13"/>
    <w:rsid w:val="00074D02"/>
    <w:rsid w:val="00075E42"/>
    <w:rsid w:val="00077BC1"/>
    <w:rsid w:val="00080187"/>
    <w:rsid w:val="000802A0"/>
    <w:rsid w:val="00080779"/>
    <w:rsid w:val="00080C16"/>
    <w:rsid w:val="00080CE0"/>
    <w:rsid w:val="00080DE3"/>
    <w:rsid w:val="00080F37"/>
    <w:rsid w:val="000811DD"/>
    <w:rsid w:val="00081265"/>
    <w:rsid w:val="000815DD"/>
    <w:rsid w:val="0008232A"/>
    <w:rsid w:val="00082457"/>
    <w:rsid w:val="00082ABC"/>
    <w:rsid w:val="00082C2D"/>
    <w:rsid w:val="00083288"/>
    <w:rsid w:val="0008382E"/>
    <w:rsid w:val="00083950"/>
    <w:rsid w:val="00083ADB"/>
    <w:rsid w:val="000845F6"/>
    <w:rsid w:val="00084B67"/>
    <w:rsid w:val="00084D38"/>
    <w:rsid w:val="000855F4"/>
    <w:rsid w:val="00085E50"/>
    <w:rsid w:val="00085F58"/>
    <w:rsid w:val="00086007"/>
    <w:rsid w:val="000863E2"/>
    <w:rsid w:val="00086898"/>
    <w:rsid w:val="000869BC"/>
    <w:rsid w:val="00086BE6"/>
    <w:rsid w:val="00086FA9"/>
    <w:rsid w:val="0008712F"/>
    <w:rsid w:val="00087428"/>
    <w:rsid w:val="00087C41"/>
    <w:rsid w:val="00090DD2"/>
    <w:rsid w:val="000915F7"/>
    <w:rsid w:val="00091906"/>
    <w:rsid w:val="00091B6E"/>
    <w:rsid w:val="000922B2"/>
    <w:rsid w:val="00092847"/>
    <w:rsid w:val="00092A42"/>
    <w:rsid w:val="00092A56"/>
    <w:rsid w:val="00092D17"/>
    <w:rsid w:val="00093A86"/>
    <w:rsid w:val="00093AA3"/>
    <w:rsid w:val="00093DCA"/>
    <w:rsid w:val="00093E57"/>
    <w:rsid w:val="00094148"/>
    <w:rsid w:val="00094629"/>
    <w:rsid w:val="0009489D"/>
    <w:rsid w:val="00094D5C"/>
    <w:rsid w:val="00094E3A"/>
    <w:rsid w:val="00094EA4"/>
    <w:rsid w:val="0009537A"/>
    <w:rsid w:val="000956EB"/>
    <w:rsid w:val="00095C23"/>
    <w:rsid w:val="00095FC5"/>
    <w:rsid w:val="00096A8A"/>
    <w:rsid w:val="00096BFA"/>
    <w:rsid w:val="00096E3C"/>
    <w:rsid w:val="00097451"/>
    <w:rsid w:val="00097A2D"/>
    <w:rsid w:val="00097B84"/>
    <w:rsid w:val="00097F10"/>
    <w:rsid w:val="000A097E"/>
    <w:rsid w:val="000A1644"/>
    <w:rsid w:val="000A200B"/>
    <w:rsid w:val="000A20D1"/>
    <w:rsid w:val="000A2DD3"/>
    <w:rsid w:val="000A3795"/>
    <w:rsid w:val="000A39F4"/>
    <w:rsid w:val="000A3C67"/>
    <w:rsid w:val="000A43F8"/>
    <w:rsid w:val="000A4419"/>
    <w:rsid w:val="000A5235"/>
    <w:rsid w:val="000A5C15"/>
    <w:rsid w:val="000A5D2A"/>
    <w:rsid w:val="000A622D"/>
    <w:rsid w:val="000A6487"/>
    <w:rsid w:val="000A719C"/>
    <w:rsid w:val="000A72F9"/>
    <w:rsid w:val="000A7CFA"/>
    <w:rsid w:val="000B005C"/>
    <w:rsid w:val="000B01CC"/>
    <w:rsid w:val="000B0390"/>
    <w:rsid w:val="000B0480"/>
    <w:rsid w:val="000B0615"/>
    <w:rsid w:val="000B0B02"/>
    <w:rsid w:val="000B0C12"/>
    <w:rsid w:val="000B0D42"/>
    <w:rsid w:val="000B16BF"/>
    <w:rsid w:val="000B1A64"/>
    <w:rsid w:val="000B1F9E"/>
    <w:rsid w:val="000B25AC"/>
    <w:rsid w:val="000B275D"/>
    <w:rsid w:val="000B2B45"/>
    <w:rsid w:val="000B2C35"/>
    <w:rsid w:val="000B3104"/>
    <w:rsid w:val="000B3F91"/>
    <w:rsid w:val="000B4301"/>
    <w:rsid w:val="000B4367"/>
    <w:rsid w:val="000B5B1E"/>
    <w:rsid w:val="000B63E0"/>
    <w:rsid w:val="000B765B"/>
    <w:rsid w:val="000B7A0B"/>
    <w:rsid w:val="000B7C69"/>
    <w:rsid w:val="000B7EB5"/>
    <w:rsid w:val="000C0372"/>
    <w:rsid w:val="000C0912"/>
    <w:rsid w:val="000C0940"/>
    <w:rsid w:val="000C171C"/>
    <w:rsid w:val="000C1B7D"/>
    <w:rsid w:val="000C23BB"/>
    <w:rsid w:val="000C26E9"/>
    <w:rsid w:val="000C320D"/>
    <w:rsid w:val="000C3827"/>
    <w:rsid w:val="000C3EB5"/>
    <w:rsid w:val="000C421C"/>
    <w:rsid w:val="000C43B6"/>
    <w:rsid w:val="000C4C18"/>
    <w:rsid w:val="000C4FD5"/>
    <w:rsid w:val="000C583A"/>
    <w:rsid w:val="000C684B"/>
    <w:rsid w:val="000C6D15"/>
    <w:rsid w:val="000C6EED"/>
    <w:rsid w:val="000C7A3E"/>
    <w:rsid w:val="000D0CED"/>
    <w:rsid w:val="000D0FA0"/>
    <w:rsid w:val="000D1633"/>
    <w:rsid w:val="000D1B5C"/>
    <w:rsid w:val="000D2A6B"/>
    <w:rsid w:val="000D2DFE"/>
    <w:rsid w:val="000D473E"/>
    <w:rsid w:val="000D47E0"/>
    <w:rsid w:val="000D50DF"/>
    <w:rsid w:val="000D5E01"/>
    <w:rsid w:val="000D6393"/>
    <w:rsid w:val="000D7721"/>
    <w:rsid w:val="000D7B0E"/>
    <w:rsid w:val="000D7B12"/>
    <w:rsid w:val="000D7C12"/>
    <w:rsid w:val="000E0036"/>
    <w:rsid w:val="000E0074"/>
    <w:rsid w:val="000E03FA"/>
    <w:rsid w:val="000E0A93"/>
    <w:rsid w:val="000E11E3"/>
    <w:rsid w:val="000E123D"/>
    <w:rsid w:val="000E164B"/>
    <w:rsid w:val="000E1B75"/>
    <w:rsid w:val="000E2444"/>
    <w:rsid w:val="000E3069"/>
    <w:rsid w:val="000E3979"/>
    <w:rsid w:val="000E39FB"/>
    <w:rsid w:val="000E3DD0"/>
    <w:rsid w:val="000E5382"/>
    <w:rsid w:val="000E551B"/>
    <w:rsid w:val="000E70A7"/>
    <w:rsid w:val="000E70AA"/>
    <w:rsid w:val="000E73FF"/>
    <w:rsid w:val="000E7995"/>
    <w:rsid w:val="000E7C1C"/>
    <w:rsid w:val="000F03B0"/>
    <w:rsid w:val="000F14E1"/>
    <w:rsid w:val="000F151E"/>
    <w:rsid w:val="000F2140"/>
    <w:rsid w:val="000F236C"/>
    <w:rsid w:val="000F2862"/>
    <w:rsid w:val="000F2F20"/>
    <w:rsid w:val="000F2F5C"/>
    <w:rsid w:val="000F3333"/>
    <w:rsid w:val="000F3809"/>
    <w:rsid w:val="000F3F8F"/>
    <w:rsid w:val="000F40CD"/>
    <w:rsid w:val="000F415B"/>
    <w:rsid w:val="000F52DC"/>
    <w:rsid w:val="000F5821"/>
    <w:rsid w:val="000F64CF"/>
    <w:rsid w:val="000F6E02"/>
    <w:rsid w:val="000F6F99"/>
    <w:rsid w:val="000F7020"/>
    <w:rsid w:val="000F7245"/>
    <w:rsid w:val="000F7C42"/>
    <w:rsid w:val="001005CF"/>
    <w:rsid w:val="00100E41"/>
    <w:rsid w:val="00100F32"/>
    <w:rsid w:val="00102127"/>
    <w:rsid w:val="00102593"/>
    <w:rsid w:val="0010368E"/>
    <w:rsid w:val="00104790"/>
    <w:rsid w:val="00105379"/>
    <w:rsid w:val="001054BA"/>
    <w:rsid w:val="001059F5"/>
    <w:rsid w:val="00107463"/>
    <w:rsid w:val="001078E0"/>
    <w:rsid w:val="00107C65"/>
    <w:rsid w:val="00107DE4"/>
    <w:rsid w:val="00107EF2"/>
    <w:rsid w:val="001100F1"/>
    <w:rsid w:val="0011100E"/>
    <w:rsid w:val="00111810"/>
    <w:rsid w:val="00111A9E"/>
    <w:rsid w:val="00111BF2"/>
    <w:rsid w:val="00112255"/>
    <w:rsid w:val="0011253C"/>
    <w:rsid w:val="001125F6"/>
    <w:rsid w:val="0011273E"/>
    <w:rsid w:val="0011283A"/>
    <w:rsid w:val="00113146"/>
    <w:rsid w:val="001134B3"/>
    <w:rsid w:val="001136F8"/>
    <w:rsid w:val="001137AF"/>
    <w:rsid w:val="001144A4"/>
    <w:rsid w:val="00114F56"/>
    <w:rsid w:val="0011592E"/>
    <w:rsid w:val="00116006"/>
    <w:rsid w:val="00116B51"/>
    <w:rsid w:val="00116C25"/>
    <w:rsid w:val="00116C2B"/>
    <w:rsid w:val="00116EB2"/>
    <w:rsid w:val="001176BE"/>
    <w:rsid w:val="001177A8"/>
    <w:rsid w:val="00117A89"/>
    <w:rsid w:val="00117F2D"/>
    <w:rsid w:val="00120BDF"/>
    <w:rsid w:val="00120DDE"/>
    <w:rsid w:val="00121658"/>
    <w:rsid w:val="00121C51"/>
    <w:rsid w:val="00122AD6"/>
    <w:rsid w:val="00122F05"/>
    <w:rsid w:val="00123299"/>
    <w:rsid w:val="00123345"/>
    <w:rsid w:val="0012410B"/>
    <w:rsid w:val="00124668"/>
    <w:rsid w:val="00124DBF"/>
    <w:rsid w:val="00124EE8"/>
    <w:rsid w:val="00125345"/>
    <w:rsid w:val="00125812"/>
    <w:rsid w:val="00125A74"/>
    <w:rsid w:val="00126014"/>
    <w:rsid w:val="00126197"/>
    <w:rsid w:val="00126559"/>
    <w:rsid w:val="00126CD1"/>
    <w:rsid w:val="00127757"/>
    <w:rsid w:val="0012788E"/>
    <w:rsid w:val="00127C66"/>
    <w:rsid w:val="001300BB"/>
    <w:rsid w:val="00130143"/>
    <w:rsid w:val="0013056E"/>
    <w:rsid w:val="00130C3F"/>
    <w:rsid w:val="00130D7F"/>
    <w:rsid w:val="00130DF6"/>
    <w:rsid w:val="00130E8F"/>
    <w:rsid w:val="001325C4"/>
    <w:rsid w:val="001334C1"/>
    <w:rsid w:val="001335BC"/>
    <w:rsid w:val="001336E3"/>
    <w:rsid w:val="001339BB"/>
    <w:rsid w:val="00134666"/>
    <w:rsid w:val="00134920"/>
    <w:rsid w:val="001349F4"/>
    <w:rsid w:val="00135249"/>
    <w:rsid w:val="0013524A"/>
    <w:rsid w:val="0013542F"/>
    <w:rsid w:val="00135F0D"/>
    <w:rsid w:val="00136791"/>
    <w:rsid w:val="001367CA"/>
    <w:rsid w:val="00136CD2"/>
    <w:rsid w:val="00136DEE"/>
    <w:rsid w:val="00136EED"/>
    <w:rsid w:val="00137065"/>
    <w:rsid w:val="00137144"/>
    <w:rsid w:val="0013773E"/>
    <w:rsid w:val="00140304"/>
    <w:rsid w:val="001403E1"/>
    <w:rsid w:val="00140B2F"/>
    <w:rsid w:val="00140FFD"/>
    <w:rsid w:val="00141197"/>
    <w:rsid w:val="00141B20"/>
    <w:rsid w:val="00141D39"/>
    <w:rsid w:val="00142051"/>
    <w:rsid w:val="00142153"/>
    <w:rsid w:val="001427E4"/>
    <w:rsid w:val="00143437"/>
    <w:rsid w:val="001439D8"/>
    <w:rsid w:val="00143CB0"/>
    <w:rsid w:val="001442F9"/>
    <w:rsid w:val="00144369"/>
    <w:rsid w:val="001444DC"/>
    <w:rsid w:val="00144ADC"/>
    <w:rsid w:val="00144BBB"/>
    <w:rsid w:val="00144C30"/>
    <w:rsid w:val="00144F77"/>
    <w:rsid w:val="00146402"/>
    <w:rsid w:val="00146FB7"/>
    <w:rsid w:val="00146FC1"/>
    <w:rsid w:val="001470BB"/>
    <w:rsid w:val="001478B7"/>
    <w:rsid w:val="001503AB"/>
    <w:rsid w:val="0015041B"/>
    <w:rsid w:val="001504CB"/>
    <w:rsid w:val="00150932"/>
    <w:rsid w:val="00151CFB"/>
    <w:rsid w:val="00151EF1"/>
    <w:rsid w:val="00152470"/>
    <w:rsid w:val="00152671"/>
    <w:rsid w:val="0015271A"/>
    <w:rsid w:val="00152978"/>
    <w:rsid w:val="00152D49"/>
    <w:rsid w:val="00152F95"/>
    <w:rsid w:val="001538B9"/>
    <w:rsid w:val="00153A61"/>
    <w:rsid w:val="00153D80"/>
    <w:rsid w:val="0015504B"/>
    <w:rsid w:val="001553BC"/>
    <w:rsid w:val="00155787"/>
    <w:rsid w:val="00155E8C"/>
    <w:rsid w:val="00156C42"/>
    <w:rsid w:val="00157613"/>
    <w:rsid w:val="00157867"/>
    <w:rsid w:val="00160254"/>
    <w:rsid w:val="001607B7"/>
    <w:rsid w:val="00160B71"/>
    <w:rsid w:val="00161022"/>
    <w:rsid w:val="00161028"/>
    <w:rsid w:val="00161358"/>
    <w:rsid w:val="0016186C"/>
    <w:rsid w:val="001620EB"/>
    <w:rsid w:val="00162A2A"/>
    <w:rsid w:val="0016330C"/>
    <w:rsid w:val="0016348C"/>
    <w:rsid w:val="00163716"/>
    <w:rsid w:val="00164149"/>
    <w:rsid w:val="001642F5"/>
    <w:rsid w:val="00164345"/>
    <w:rsid w:val="00164B95"/>
    <w:rsid w:val="00164D0A"/>
    <w:rsid w:val="00165031"/>
    <w:rsid w:val="0016538E"/>
    <w:rsid w:val="00166525"/>
    <w:rsid w:val="00166827"/>
    <w:rsid w:val="00166A38"/>
    <w:rsid w:val="00166A7A"/>
    <w:rsid w:val="00166C49"/>
    <w:rsid w:val="001674EB"/>
    <w:rsid w:val="00167856"/>
    <w:rsid w:val="00167B22"/>
    <w:rsid w:val="00167B47"/>
    <w:rsid w:val="00167EE1"/>
    <w:rsid w:val="001705C4"/>
    <w:rsid w:val="00170832"/>
    <w:rsid w:val="00170888"/>
    <w:rsid w:val="00170990"/>
    <w:rsid w:val="001709AF"/>
    <w:rsid w:val="00171281"/>
    <w:rsid w:val="001712D0"/>
    <w:rsid w:val="001712D6"/>
    <w:rsid w:val="001714FE"/>
    <w:rsid w:val="00171954"/>
    <w:rsid w:val="00172324"/>
    <w:rsid w:val="001726B0"/>
    <w:rsid w:val="00172944"/>
    <w:rsid w:val="001729C5"/>
    <w:rsid w:val="00173023"/>
    <w:rsid w:val="001743BB"/>
    <w:rsid w:val="001745C3"/>
    <w:rsid w:val="00174981"/>
    <w:rsid w:val="00175644"/>
    <w:rsid w:val="00175BA4"/>
    <w:rsid w:val="00176079"/>
    <w:rsid w:val="001767C7"/>
    <w:rsid w:val="00176A5A"/>
    <w:rsid w:val="0017736B"/>
    <w:rsid w:val="00177584"/>
    <w:rsid w:val="0017758F"/>
    <w:rsid w:val="001800AF"/>
    <w:rsid w:val="00180A3B"/>
    <w:rsid w:val="00180BD5"/>
    <w:rsid w:val="00180D17"/>
    <w:rsid w:val="001811C5"/>
    <w:rsid w:val="00181B3B"/>
    <w:rsid w:val="00183923"/>
    <w:rsid w:val="00183D99"/>
    <w:rsid w:val="00183EB1"/>
    <w:rsid w:val="0018417E"/>
    <w:rsid w:val="00184219"/>
    <w:rsid w:val="00184709"/>
    <w:rsid w:val="00185884"/>
    <w:rsid w:val="00185BF8"/>
    <w:rsid w:val="0018601C"/>
    <w:rsid w:val="001864A6"/>
    <w:rsid w:val="00186661"/>
    <w:rsid w:val="0018783D"/>
    <w:rsid w:val="001878D7"/>
    <w:rsid w:val="00187C24"/>
    <w:rsid w:val="0019008B"/>
    <w:rsid w:val="001901C1"/>
    <w:rsid w:val="00190331"/>
    <w:rsid w:val="00190579"/>
    <w:rsid w:val="00190FD8"/>
    <w:rsid w:val="0019148D"/>
    <w:rsid w:val="001915CE"/>
    <w:rsid w:val="001919F9"/>
    <w:rsid w:val="00191B67"/>
    <w:rsid w:val="001924AB"/>
    <w:rsid w:val="0019253C"/>
    <w:rsid w:val="001929BC"/>
    <w:rsid w:val="00193454"/>
    <w:rsid w:val="001934B8"/>
    <w:rsid w:val="0019355E"/>
    <w:rsid w:val="00193937"/>
    <w:rsid w:val="00194CF9"/>
    <w:rsid w:val="001956C8"/>
    <w:rsid w:val="00195AAA"/>
    <w:rsid w:val="001963D6"/>
    <w:rsid w:val="00197273"/>
    <w:rsid w:val="00197657"/>
    <w:rsid w:val="00197659"/>
    <w:rsid w:val="001A082C"/>
    <w:rsid w:val="001A107A"/>
    <w:rsid w:val="001A13C8"/>
    <w:rsid w:val="001A1A48"/>
    <w:rsid w:val="001A1C2E"/>
    <w:rsid w:val="001A1C61"/>
    <w:rsid w:val="001A1DA0"/>
    <w:rsid w:val="001A1DC3"/>
    <w:rsid w:val="001A1DFB"/>
    <w:rsid w:val="001A2CCE"/>
    <w:rsid w:val="001A2ECF"/>
    <w:rsid w:val="001A32C7"/>
    <w:rsid w:val="001A3ACE"/>
    <w:rsid w:val="001A4652"/>
    <w:rsid w:val="001A4F72"/>
    <w:rsid w:val="001A53C6"/>
    <w:rsid w:val="001A5694"/>
    <w:rsid w:val="001A5A46"/>
    <w:rsid w:val="001A5BEE"/>
    <w:rsid w:val="001A6035"/>
    <w:rsid w:val="001A6588"/>
    <w:rsid w:val="001A7523"/>
    <w:rsid w:val="001A7B0D"/>
    <w:rsid w:val="001B012C"/>
    <w:rsid w:val="001B019C"/>
    <w:rsid w:val="001B0726"/>
    <w:rsid w:val="001B085B"/>
    <w:rsid w:val="001B0DF0"/>
    <w:rsid w:val="001B15C3"/>
    <w:rsid w:val="001B1A87"/>
    <w:rsid w:val="001B1BDF"/>
    <w:rsid w:val="001B1CF5"/>
    <w:rsid w:val="001B2338"/>
    <w:rsid w:val="001B24D5"/>
    <w:rsid w:val="001B2869"/>
    <w:rsid w:val="001B2C7E"/>
    <w:rsid w:val="001B3411"/>
    <w:rsid w:val="001B3F6D"/>
    <w:rsid w:val="001B3F81"/>
    <w:rsid w:val="001B42CB"/>
    <w:rsid w:val="001B4374"/>
    <w:rsid w:val="001B43C8"/>
    <w:rsid w:val="001B4E6C"/>
    <w:rsid w:val="001B53BA"/>
    <w:rsid w:val="001B585B"/>
    <w:rsid w:val="001B6036"/>
    <w:rsid w:val="001B7122"/>
    <w:rsid w:val="001B75A7"/>
    <w:rsid w:val="001B7A97"/>
    <w:rsid w:val="001C07EF"/>
    <w:rsid w:val="001C0CF6"/>
    <w:rsid w:val="001C101B"/>
    <w:rsid w:val="001C1191"/>
    <w:rsid w:val="001C12E6"/>
    <w:rsid w:val="001C2214"/>
    <w:rsid w:val="001C2524"/>
    <w:rsid w:val="001C25EF"/>
    <w:rsid w:val="001C282E"/>
    <w:rsid w:val="001C2FEF"/>
    <w:rsid w:val="001C32A0"/>
    <w:rsid w:val="001C3D8F"/>
    <w:rsid w:val="001C419F"/>
    <w:rsid w:val="001C41C2"/>
    <w:rsid w:val="001C4F73"/>
    <w:rsid w:val="001C5656"/>
    <w:rsid w:val="001C5C46"/>
    <w:rsid w:val="001C5D98"/>
    <w:rsid w:val="001C5ED3"/>
    <w:rsid w:val="001C65B7"/>
    <w:rsid w:val="001C6736"/>
    <w:rsid w:val="001C6D35"/>
    <w:rsid w:val="001C70CA"/>
    <w:rsid w:val="001D0765"/>
    <w:rsid w:val="001D0A46"/>
    <w:rsid w:val="001D1ABC"/>
    <w:rsid w:val="001D1DA6"/>
    <w:rsid w:val="001D1E4E"/>
    <w:rsid w:val="001D22ED"/>
    <w:rsid w:val="001D2BE5"/>
    <w:rsid w:val="001D3256"/>
    <w:rsid w:val="001D3440"/>
    <w:rsid w:val="001D3796"/>
    <w:rsid w:val="001D37FB"/>
    <w:rsid w:val="001D3835"/>
    <w:rsid w:val="001D3BA0"/>
    <w:rsid w:val="001D3ED5"/>
    <w:rsid w:val="001D3FAD"/>
    <w:rsid w:val="001D41F1"/>
    <w:rsid w:val="001D422D"/>
    <w:rsid w:val="001D4BE3"/>
    <w:rsid w:val="001D4EBA"/>
    <w:rsid w:val="001D53A8"/>
    <w:rsid w:val="001D5851"/>
    <w:rsid w:val="001D5943"/>
    <w:rsid w:val="001D5949"/>
    <w:rsid w:val="001D5CC9"/>
    <w:rsid w:val="001D688C"/>
    <w:rsid w:val="001D698D"/>
    <w:rsid w:val="001D6B53"/>
    <w:rsid w:val="001D70A4"/>
    <w:rsid w:val="001D7325"/>
    <w:rsid w:val="001D78F6"/>
    <w:rsid w:val="001E15B4"/>
    <w:rsid w:val="001E1A8F"/>
    <w:rsid w:val="001E1C3F"/>
    <w:rsid w:val="001E21DF"/>
    <w:rsid w:val="001E2526"/>
    <w:rsid w:val="001E2877"/>
    <w:rsid w:val="001E2C4B"/>
    <w:rsid w:val="001E2ECA"/>
    <w:rsid w:val="001E3EBD"/>
    <w:rsid w:val="001E48AE"/>
    <w:rsid w:val="001E4F5F"/>
    <w:rsid w:val="001E5480"/>
    <w:rsid w:val="001E7161"/>
    <w:rsid w:val="001F0C12"/>
    <w:rsid w:val="001F0DD3"/>
    <w:rsid w:val="001F19A5"/>
    <w:rsid w:val="001F21CB"/>
    <w:rsid w:val="001F22C7"/>
    <w:rsid w:val="001F2324"/>
    <w:rsid w:val="001F26A3"/>
    <w:rsid w:val="001F3AB4"/>
    <w:rsid w:val="001F3C9E"/>
    <w:rsid w:val="001F3DB8"/>
    <w:rsid w:val="001F4545"/>
    <w:rsid w:val="001F4576"/>
    <w:rsid w:val="001F57DE"/>
    <w:rsid w:val="001F6181"/>
    <w:rsid w:val="001F6750"/>
    <w:rsid w:val="001F6CC9"/>
    <w:rsid w:val="001F7943"/>
    <w:rsid w:val="001F79C0"/>
    <w:rsid w:val="002001F0"/>
    <w:rsid w:val="00200311"/>
    <w:rsid w:val="002008D1"/>
    <w:rsid w:val="00201696"/>
    <w:rsid w:val="0020172B"/>
    <w:rsid w:val="002018FA"/>
    <w:rsid w:val="00202320"/>
    <w:rsid w:val="00202528"/>
    <w:rsid w:val="00202676"/>
    <w:rsid w:val="0020278D"/>
    <w:rsid w:val="002036AA"/>
    <w:rsid w:val="00203757"/>
    <w:rsid w:val="00203789"/>
    <w:rsid w:val="0020454A"/>
    <w:rsid w:val="00205334"/>
    <w:rsid w:val="00205F89"/>
    <w:rsid w:val="00206DA3"/>
    <w:rsid w:val="002074E5"/>
    <w:rsid w:val="00207EEC"/>
    <w:rsid w:val="00211397"/>
    <w:rsid w:val="002115FD"/>
    <w:rsid w:val="00211642"/>
    <w:rsid w:val="00211DDC"/>
    <w:rsid w:val="0021231D"/>
    <w:rsid w:val="0021270D"/>
    <w:rsid w:val="0021282B"/>
    <w:rsid w:val="00212F98"/>
    <w:rsid w:val="002132AD"/>
    <w:rsid w:val="00213B41"/>
    <w:rsid w:val="00213FE9"/>
    <w:rsid w:val="0021454A"/>
    <w:rsid w:val="002155C2"/>
    <w:rsid w:val="0021583C"/>
    <w:rsid w:val="002160F8"/>
    <w:rsid w:val="00216825"/>
    <w:rsid w:val="00216AA2"/>
    <w:rsid w:val="00216DA1"/>
    <w:rsid w:val="00216DB5"/>
    <w:rsid w:val="00216F08"/>
    <w:rsid w:val="0022017A"/>
    <w:rsid w:val="0022029B"/>
    <w:rsid w:val="002209AD"/>
    <w:rsid w:val="00220CBA"/>
    <w:rsid w:val="00220F11"/>
    <w:rsid w:val="00222688"/>
    <w:rsid w:val="00222B7E"/>
    <w:rsid w:val="00222CA5"/>
    <w:rsid w:val="00222D09"/>
    <w:rsid w:val="00222FB9"/>
    <w:rsid w:val="002243A4"/>
    <w:rsid w:val="002243F0"/>
    <w:rsid w:val="00224A1F"/>
    <w:rsid w:val="00224AD8"/>
    <w:rsid w:val="00224B46"/>
    <w:rsid w:val="00224D7D"/>
    <w:rsid w:val="002258FC"/>
    <w:rsid w:val="00225962"/>
    <w:rsid w:val="00226226"/>
    <w:rsid w:val="002276D9"/>
    <w:rsid w:val="00227CF7"/>
    <w:rsid w:val="00227D78"/>
    <w:rsid w:val="00227FE4"/>
    <w:rsid w:val="002309A8"/>
    <w:rsid w:val="00230F86"/>
    <w:rsid w:val="0023118B"/>
    <w:rsid w:val="002312FF"/>
    <w:rsid w:val="002316F9"/>
    <w:rsid w:val="002317B4"/>
    <w:rsid w:val="00232714"/>
    <w:rsid w:val="00232A5A"/>
    <w:rsid w:val="00232D6D"/>
    <w:rsid w:val="0023315A"/>
    <w:rsid w:val="002331A0"/>
    <w:rsid w:val="002331DA"/>
    <w:rsid w:val="0023337D"/>
    <w:rsid w:val="00233411"/>
    <w:rsid w:val="00233733"/>
    <w:rsid w:val="00233DC9"/>
    <w:rsid w:val="0023447D"/>
    <w:rsid w:val="00234C27"/>
    <w:rsid w:val="00235692"/>
    <w:rsid w:val="0023697A"/>
    <w:rsid w:val="0023708B"/>
    <w:rsid w:val="00237318"/>
    <w:rsid w:val="00237F52"/>
    <w:rsid w:val="00237FE9"/>
    <w:rsid w:val="0024012F"/>
    <w:rsid w:val="00240478"/>
    <w:rsid w:val="00240668"/>
    <w:rsid w:val="002409A9"/>
    <w:rsid w:val="00240B81"/>
    <w:rsid w:val="0024176E"/>
    <w:rsid w:val="00241C89"/>
    <w:rsid w:val="00242D7F"/>
    <w:rsid w:val="0024368C"/>
    <w:rsid w:val="002437CF"/>
    <w:rsid w:val="002439DD"/>
    <w:rsid w:val="0024417B"/>
    <w:rsid w:val="0024426D"/>
    <w:rsid w:val="00245DA0"/>
    <w:rsid w:val="00245F88"/>
    <w:rsid w:val="00246384"/>
    <w:rsid w:val="002465C0"/>
    <w:rsid w:val="00246780"/>
    <w:rsid w:val="00247036"/>
    <w:rsid w:val="00247352"/>
    <w:rsid w:val="00247ADA"/>
    <w:rsid w:val="0025036C"/>
    <w:rsid w:val="00250B8A"/>
    <w:rsid w:val="00251406"/>
    <w:rsid w:val="00251476"/>
    <w:rsid w:val="002515AA"/>
    <w:rsid w:val="00251F75"/>
    <w:rsid w:val="00252B9A"/>
    <w:rsid w:val="00252E79"/>
    <w:rsid w:val="00253764"/>
    <w:rsid w:val="0025382A"/>
    <w:rsid w:val="00253DD4"/>
    <w:rsid w:val="00254BC8"/>
    <w:rsid w:val="00255855"/>
    <w:rsid w:val="0025645C"/>
    <w:rsid w:val="00256825"/>
    <w:rsid w:val="00256CC4"/>
    <w:rsid w:val="00257836"/>
    <w:rsid w:val="0026009C"/>
    <w:rsid w:val="00260AB5"/>
    <w:rsid w:val="00260C2B"/>
    <w:rsid w:val="0026113D"/>
    <w:rsid w:val="00261864"/>
    <w:rsid w:val="00261C50"/>
    <w:rsid w:val="00262469"/>
    <w:rsid w:val="00262823"/>
    <w:rsid w:val="00263514"/>
    <w:rsid w:val="0026447A"/>
    <w:rsid w:val="002645E7"/>
    <w:rsid w:val="00264788"/>
    <w:rsid w:val="0026479A"/>
    <w:rsid w:val="00264EEE"/>
    <w:rsid w:val="00264F4D"/>
    <w:rsid w:val="0026530E"/>
    <w:rsid w:val="00265D22"/>
    <w:rsid w:val="00265DC2"/>
    <w:rsid w:val="00265DED"/>
    <w:rsid w:val="00265E6C"/>
    <w:rsid w:val="00266818"/>
    <w:rsid w:val="00266A30"/>
    <w:rsid w:val="00266C3E"/>
    <w:rsid w:val="00267455"/>
    <w:rsid w:val="00267721"/>
    <w:rsid w:val="0026794D"/>
    <w:rsid w:val="00267C9A"/>
    <w:rsid w:val="00267FAB"/>
    <w:rsid w:val="002712C8"/>
    <w:rsid w:val="002719B3"/>
    <w:rsid w:val="002719ED"/>
    <w:rsid w:val="00271EB7"/>
    <w:rsid w:val="002728C6"/>
    <w:rsid w:val="00272E82"/>
    <w:rsid w:val="00272F56"/>
    <w:rsid w:val="002730A9"/>
    <w:rsid w:val="00273D5C"/>
    <w:rsid w:val="00273ECF"/>
    <w:rsid w:val="002745D5"/>
    <w:rsid w:val="00274790"/>
    <w:rsid w:val="00274A22"/>
    <w:rsid w:val="00274D96"/>
    <w:rsid w:val="002751D7"/>
    <w:rsid w:val="00275209"/>
    <w:rsid w:val="0027527B"/>
    <w:rsid w:val="00275B26"/>
    <w:rsid w:val="00275D6C"/>
    <w:rsid w:val="002768AB"/>
    <w:rsid w:val="0027706F"/>
    <w:rsid w:val="002772DD"/>
    <w:rsid w:val="00277752"/>
    <w:rsid w:val="00277DF5"/>
    <w:rsid w:val="00281580"/>
    <w:rsid w:val="0028159A"/>
    <w:rsid w:val="002815CC"/>
    <w:rsid w:val="0028184D"/>
    <w:rsid w:val="002818C9"/>
    <w:rsid w:val="00281C8A"/>
    <w:rsid w:val="00282C6F"/>
    <w:rsid w:val="00282DD1"/>
    <w:rsid w:val="00283AFA"/>
    <w:rsid w:val="00283CDD"/>
    <w:rsid w:val="00285BF8"/>
    <w:rsid w:val="00286741"/>
    <w:rsid w:val="00286D26"/>
    <w:rsid w:val="0028720E"/>
    <w:rsid w:val="00287942"/>
    <w:rsid w:val="002900D2"/>
    <w:rsid w:val="00290D99"/>
    <w:rsid w:val="002910CA"/>
    <w:rsid w:val="0029141E"/>
    <w:rsid w:val="0029145A"/>
    <w:rsid w:val="00291476"/>
    <w:rsid w:val="002914CC"/>
    <w:rsid w:val="0029159A"/>
    <w:rsid w:val="00291E54"/>
    <w:rsid w:val="00291EEE"/>
    <w:rsid w:val="002921BF"/>
    <w:rsid w:val="00292296"/>
    <w:rsid w:val="0029399F"/>
    <w:rsid w:val="00293E21"/>
    <w:rsid w:val="00294204"/>
    <w:rsid w:val="00294516"/>
    <w:rsid w:val="00294776"/>
    <w:rsid w:val="00295264"/>
    <w:rsid w:val="00295A80"/>
    <w:rsid w:val="00296221"/>
    <w:rsid w:val="00296404"/>
    <w:rsid w:val="0029649F"/>
    <w:rsid w:val="0029689B"/>
    <w:rsid w:val="00296B23"/>
    <w:rsid w:val="00296EEC"/>
    <w:rsid w:val="00296F11"/>
    <w:rsid w:val="00297B45"/>
    <w:rsid w:val="00297D8A"/>
    <w:rsid w:val="002A05D3"/>
    <w:rsid w:val="002A06C4"/>
    <w:rsid w:val="002A06C6"/>
    <w:rsid w:val="002A122C"/>
    <w:rsid w:val="002A1FFF"/>
    <w:rsid w:val="002A2B0E"/>
    <w:rsid w:val="002A30A1"/>
    <w:rsid w:val="002A498F"/>
    <w:rsid w:val="002A4B63"/>
    <w:rsid w:val="002A535E"/>
    <w:rsid w:val="002A5881"/>
    <w:rsid w:val="002A5E7A"/>
    <w:rsid w:val="002A6BE6"/>
    <w:rsid w:val="002A6C55"/>
    <w:rsid w:val="002A6DF0"/>
    <w:rsid w:val="002B0025"/>
    <w:rsid w:val="002B04CB"/>
    <w:rsid w:val="002B0801"/>
    <w:rsid w:val="002B1F6E"/>
    <w:rsid w:val="002B2C7F"/>
    <w:rsid w:val="002B2E13"/>
    <w:rsid w:val="002B3130"/>
    <w:rsid w:val="002B336A"/>
    <w:rsid w:val="002B3425"/>
    <w:rsid w:val="002B3EB5"/>
    <w:rsid w:val="002B42F9"/>
    <w:rsid w:val="002B46FC"/>
    <w:rsid w:val="002B4F60"/>
    <w:rsid w:val="002B5324"/>
    <w:rsid w:val="002B56E7"/>
    <w:rsid w:val="002B5DD9"/>
    <w:rsid w:val="002B61F5"/>
    <w:rsid w:val="002B68B0"/>
    <w:rsid w:val="002B6F90"/>
    <w:rsid w:val="002B7847"/>
    <w:rsid w:val="002B7C50"/>
    <w:rsid w:val="002C0074"/>
    <w:rsid w:val="002C097E"/>
    <w:rsid w:val="002C17DA"/>
    <w:rsid w:val="002C19F0"/>
    <w:rsid w:val="002C1FCF"/>
    <w:rsid w:val="002C2315"/>
    <w:rsid w:val="002C2A2F"/>
    <w:rsid w:val="002C301D"/>
    <w:rsid w:val="002C3063"/>
    <w:rsid w:val="002C3202"/>
    <w:rsid w:val="002C3A3E"/>
    <w:rsid w:val="002C3F17"/>
    <w:rsid w:val="002C4250"/>
    <w:rsid w:val="002C4408"/>
    <w:rsid w:val="002C4A38"/>
    <w:rsid w:val="002C5229"/>
    <w:rsid w:val="002C54EC"/>
    <w:rsid w:val="002C6AD8"/>
    <w:rsid w:val="002C734D"/>
    <w:rsid w:val="002C744C"/>
    <w:rsid w:val="002C774F"/>
    <w:rsid w:val="002C79BC"/>
    <w:rsid w:val="002C7DCF"/>
    <w:rsid w:val="002D01BF"/>
    <w:rsid w:val="002D0390"/>
    <w:rsid w:val="002D0D44"/>
    <w:rsid w:val="002D0FAA"/>
    <w:rsid w:val="002D1483"/>
    <w:rsid w:val="002D1545"/>
    <w:rsid w:val="002D1EB8"/>
    <w:rsid w:val="002D1EBB"/>
    <w:rsid w:val="002D21A2"/>
    <w:rsid w:val="002D272B"/>
    <w:rsid w:val="002D3156"/>
    <w:rsid w:val="002D3377"/>
    <w:rsid w:val="002D3E81"/>
    <w:rsid w:val="002D475E"/>
    <w:rsid w:val="002D4AC3"/>
    <w:rsid w:val="002D52A0"/>
    <w:rsid w:val="002D5739"/>
    <w:rsid w:val="002D5894"/>
    <w:rsid w:val="002D5B97"/>
    <w:rsid w:val="002D62D4"/>
    <w:rsid w:val="002D6691"/>
    <w:rsid w:val="002D6699"/>
    <w:rsid w:val="002D68FC"/>
    <w:rsid w:val="002D7463"/>
    <w:rsid w:val="002D74F8"/>
    <w:rsid w:val="002D7614"/>
    <w:rsid w:val="002D7941"/>
    <w:rsid w:val="002D79EE"/>
    <w:rsid w:val="002D7A95"/>
    <w:rsid w:val="002E001F"/>
    <w:rsid w:val="002E062E"/>
    <w:rsid w:val="002E09FA"/>
    <w:rsid w:val="002E0BFE"/>
    <w:rsid w:val="002E0C67"/>
    <w:rsid w:val="002E1D30"/>
    <w:rsid w:val="002E1FBA"/>
    <w:rsid w:val="002E2670"/>
    <w:rsid w:val="002E28C6"/>
    <w:rsid w:val="002E2C24"/>
    <w:rsid w:val="002E31DD"/>
    <w:rsid w:val="002E3D27"/>
    <w:rsid w:val="002E41B4"/>
    <w:rsid w:val="002E485C"/>
    <w:rsid w:val="002E4DB3"/>
    <w:rsid w:val="002E595B"/>
    <w:rsid w:val="002E5F4F"/>
    <w:rsid w:val="002E649C"/>
    <w:rsid w:val="002E6B12"/>
    <w:rsid w:val="002E79A6"/>
    <w:rsid w:val="002E7D20"/>
    <w:rsid w:val="002F0179"/>
    <w:rsid w:val="002F09CC"/>
    <w:rsid w:val="002F0EE8"/>
    <w:rsid w:val="002F0F00"/>
    <w:rsid w:val="002F10BF"/>
    <w:rsid w:val="002F110D"/>
    <w:rsid w:val="002F140B"/>
    <w:rsid w:val="002F2B8E"/>
    <w:rsid w:val="002F2B97"/>
    <w:rsid w:val="002F32BD"/>
    <w:rsid w:val="002F343E"/>
    <w:rsid w:val="002F393C"/>
    <w:rsid w:val="002F3971"/>
    <w:rsid w:val="002F4407"/>
    <w:rsid w:val="002F44C5"/>
    <w:rsid w:val="002F47AC"/>
    <w:rsid w:val="002F499C"/>
    <w:rsid w:val="002F55C5"/>
    <w:rsid w:val="002F5A1A"/>
    <w:rsid w:val="002F5E2C"/>
    <w:rsid w:val="002F600D"/>
    <w:rsid w:val="002F6645"/>
    <w:rsid w:val="002F6956"/>
    <w:rsid w:val="002F71BB"/>
    <w:rsid w:val="002F71F1"/>
    <w:rsid w:val="002F751A"/>
    <w:rsid w:val="002F7C03"/>
    <w:rsid w:val="002F7E64"/>
    <w:rsid w:val="0030111A"/>
    <w:rsid w:val="003018E4"/>
    <w:rsid w:val="00301976"/>
    <w:rsid w:val="00301A3A"/>
    <w:rsid w:val="00302252"/>
    <w:rsid w:val="003024B5"/>
    <w:rsid w:val="0030324D"/>
    <w:rsid w:val="003038AC"/>
    <w:rsid w:val="00304190"/>
    <w:rsid w:val="00304632"/>
    <w:rsid w:val="00305686"/>
    <w:rsid w:val="0030600B"/>
    <w:rsid w:val="003060CC"/>
    <w:rsid w:val="00306224"/>
    <w:rsid w:val="0030625E"/>
    <w:rsid w:val="003069D8"/>
    <w:rsid w:val="00306B5B"/>
    <w:rsid w:val="00306E9B"/>
    <w:rsid w:val="003071A6"/>
    <w:rsid w:val="003071E6"/>
    <w:rsid w:val="0030734E"/>
    <w:rsid w:val="003075DD"/>
    <w:rsid w:val="003076AD"/>
    <w:rsid w:val="003076FA"/>
    <w:rsid w:val="00310998"/>
    <w:rsid w:val="00310D70"/>
    <w:rsid w:val="00310F22"/>
    <w:rsid w:val="0031214B"/>
    <w:rsid w:val="00313F3E"/>
    <w:rsid w:val="00314929"/>
    <w:rsid w:val="00315307"/>
    <w:rsid w:val="00315D17"/>
    <w:rsid w:val="00316012"/>
    <w:rsid w:val="003161B8"/>
    <w:rsid w:val="00316562"/>
    <w:rsid w:val="00316FCF"/>
    <w:rsid w:val="003173E1"/>
    <w:rsid w:val="003176BB"/>
    <w:rsid w:val="00317A0D"/>
    <w:rsid w:val="00317C8E"/>
    <w:rsid w:val="00317E1A"/>
    <w:rsid w:val="0032087F"/>
    <w:rsid w:val="003208BB"/>
    <w:rsid w:val="003210A2"/>
    <w:rsid w:val="003218D7"/>
    <w:rsid w:val="00321A56"/>
    <w:rsid w:val="0032228F"/>
    <w:rsid w:val="00322F97"/>
    <w:rsid w:val="003237B0"/>
    <w:rsid w:val="00323E8D"/>
    <w:rsid w:val="003245E6"/>
    <w:rsid w:val="003249D8"/>
    <w:rsid w:val="00324A67"/>
    <w:rsid w:val="0032503F"/>
    <w:rsid w:val="0032586D"/>
    <w:rsid w:val="00325AD5"/>
    <w:rsid w:val="003262CE"/>
    <w:rsid w:val="003264ED"/>
    <w:rsid w:val="0032662B"/>
    <w:rsid w:val="00326A53"/>
    <w:rsid w:val="00327CD1"/>
    <w:rsid w:val="00327F07"/>
    <w:rsid w:val="00330377"/>
    <w:rsid w:val="0033071C"/>
    <w:rsid w:val="003308B4"/>
    <w:rsid w:val="00330F94"/>
    <w:rsid w:val="00331B37"/>
    <w:rsid w:val="00332EEB"/>
    <w:rsid w:val="00333209"/>
    <w:rsid w:val="003338CE"/>
    <w:rsid w:val="003338F3"/>
    <w:rsid w:val="00334A4E"/>
    <w:rsid w:val="00335126"/>
    <w:rsid w:val="003352EF"/>
    <w:rsid w:val="00335451"/>
    <w:rsid w:val="00335831"/>
    <w:rsid w:val="00335E77"/>
    <w:rsid w:val="00335F4D"/>
    <w:rsid w:val="00337138"/>
    <w:rsid w:val="00337AB5"/>
    <w:rsid w:val="00337B09"/>
    <w:rsid w:val="00337C7D"/>
    <w:rsid w:val="00337DAB"/>
    <w:rsid w:val="003400A0"/>
    <w:rsid w:val="003400AE"/>
    <w:rsid w:val="00340C52"/>
    <w:rsid w:val="00341071"/>
    <w:rsid w:val="00341BD6"/>
    <w:rsid w:val="00341D6F"/>
    <w:rsid w:val="00341E3E"/>
    <w:rsid w:val="00342072"/>
    <w:rsid w:val="003424A8"/>
    <w:rsid w:val="003425F7"/>
    <w:rsid w:val="00343012"/>
    <w:rsid w:val="00343240"/>
    <w:rsid w:val="0034390D"/>
    <w:rsid w:val="00343A00"/>
    <w:rsid w:val="00343B25"/>
    <w:rsid w:val="00343C60"/>
    <w:rsid w:val="00343FD0"/>
    <w:rsid w:val="003441E3"/>
    <w:rsid w:val="0034439C"/>
    <w:rsid w:val="003445EA"/>
    <w:rsid w:val="00344D60"/>
    <w:rsid w:val="00345241"/>
    <w:rsid w:val="00346120"/>
    <w:rsid w:val="00346884"/>
    <w:rsid w:val="00346AD8"/>
    <w:rsid w:val="00347D97"/>
    <w:rsid w:val="00350291"/>
    <w:rsid w:val="003509D2"/>
    <w:rsid w:val="003510AC"/>
    <w:rsid w:val="003512D3"/>
    <w:rsid w:val="00351370"/>
    <w:rsid w:val="00351C68"/>
    <w:rsid w:val="00351EA6"/>
    <w:rsid w:val="00351EC0"/>
    <w:rsid w:val="0035201D"/>
    <w:rsid w:val="00352218"/>
    <w:rsid w:val="003523B4"/>
    <w:rsid w:val="003526AC"/>
    <w:rsid w:val="0035290F"/>
    <w:rsid w:val="00352D96"/>
    <w:rsid w:val="00352FBE"/>
    <w:rsid w:val="00353007"/>
    <w:rsid w:val="00353113"/>
    <w:rsid w:val="0035330B"/>
    <w:rsid w:val="00353317"/>
    <w:rsid w:val="00353518"/>
    <w:rsid w:val="003539A9"/>
    <w:rsid w:val="0035416C"/>
    <w:rsid w:val="00354396"/>
    <w:rsid w:val="00354935"/>
    <w:rsid w:val="00354CF0"/>
    <w:rsid w:val="00355235"/>
    <w:rsid w:val="003552C4"/>
    <w:rsid w:val="00355643"/>
    <w:rsid w:val="003556BD"/>
    <w:rsid w:val="0035657F"/>
    <w:rsid w:val="00357029"/>
    <w:rsid w:val="00357281"/>
    <w:rsid w:val="0036054A"/>
    <w:rsid w:val="00361224"/>
    <w:rsid w:val="003613F4"/>
    <w:rsid w:val="00361512"/>
    <w:rsid w:val="00361819"/>
    <w:rsid w:val="00361A01"/>
    <w:rsid w:val="00362462"/>
    <w:rsid w:val="00362FE1"/>
    <w:rsid w:val="00363004"/>
    <w:rsid w:val="0036357D"/>
    <w:rsid w:val="003635BB"/>
    <w:rsid w:val="00363649"/>
    <w:rsid w:val="00363DCE"/>
    <w:rsid w:val="003646EE"/>
    <w:rsid w:val="003648C4"/>
    <w:rsid w:val="00364CD1"/>
    <w:rsid w:val="00364E3E"/>
    <w:rsid w:val="00364E83"/>
    <w:rsid w:val="00365680"/>
    <w:rsid w:val="00365CC6"/>
    <w:rsid w:val="00365FE5"/>
    <w:rsid w:val="003669D5"/>
    <w:rsid w:val="00366A1A"/>
    <w:rsid w:val="0036750D"/>
    <w:rsid w:val="00367947"/>
    <w:rsid w:val="00367B6E"/>
    <w:rsid w:val="00370B2E"/>
    <w:rsid w:val="00370EC5"/>
    <w:rsid w:val="003719BF"/>
    <w:rsid w:val="00371B8F"/>
    <w:rsid w:val="00372903"/>
    <w:rsid w:val="00372910"/>
    <w:rsid w:val="00372924"/>
    <w:rsid w:val="00372D68"/>
    <w:rsid w:val="00372F4D"/>
    <w:rsid w:val="003736C9"/>
    <w:rsid w:val="00373E5B"/>
    <w:rsid w:val="0037447C"/>
    <w:rsid w:val="0037458C"/>
    <w:rsid w:val="00374E9A"/>
    <w:rsid w:val="00375428"/>
    <w:rsid w:val="0037595C"/>
    <w:rsid w:val="00376C88"/>
    <w:rsid w:val="00376FC9"/>
    <w:rsid w:val="003771E4"/>
    <w:rsid w:val="0037726D"/>
    <w:rsid w:val="00377740"/>
    <w:rsid w:val="00377768"/>
    <w:rsid w:val="003778C9"/>
    <w:rsid w:val="00377968"/>
    <w:rsid w:val="00377E3D"/>
    <w:rsid w:val="00380672"/>
    <w:rsid w:val="00381117"/>
    <w:rsid w:val="00381687"/>
    <w:rsid w:val="00381C4E"/>
    <w:rsid w:val="00381CD0"/>
    <w:rsid w:val="00381DB8"/>
    <w:rsid w:val="003822CC"/>
    <w:rsid w:val="003826A0"/>
    <w:rsid w:val="00382ED9"/>
    <w:rsid w:val="00383220"/>
    <w:rsid w:val="00383417"/>
    <w:rsid w:val="00383462"/>
    <w:rsid w:val="00383E37"/>
    <w:rsid w:val="003840F5"/>
    <w:rsid w:val="0038482E"/>
    <w:rsid w:val="00385683"/>
    <w:rsid w:val="003861C1"/>
    <w:rsid w:val="00386DD1"/>
    <w:rsid w:val="0038760C"/>
    <w:rsid w:val="00387CA4"/>
    <w:rsid w:val="00390400"/>
    <w:rsid w:val="00390617"/>
    <w:rsid w:val="0039127D"/>
    <w:rsid w:val="0039128C"/>
    <w:rsid w:val="0039133D"/>
    <w:rsid w:val="00391713"/>
    <w:rsid w:val="00391F27"/>
    <w:rsid w:val="0039226C"/>
    <w:rsid w:val="00392738"/>
    <w:rsid w:val="00392BAE"/>
    <w:rsid w:val="00392DE8"/>
    <w:rsid w:val="0039362D"/>
    <w:rsid w:val="0039383C"/>
    <w:rsid w:val="003940D1"/>
    <w:rsid w:val="003947CD"/>
    <w:rsid w:val="00394EF4"/>
    <w:rsid w:val="00395178"/>
    <w:rsid w:val="003952E1"/>
    <w:rsid w:val="00395750"/>
    <w:rsid w:val="0039581F"/>
    <w:rsid w:val="00395A63"/>
    <w:rsid w:val="00395E62"/>
    <w:rsid w:val="00396861"/>
    <w:rsid w:val="00396A04"/>
    <w:rsid w:val="00397809"/>
    <w:rsid w:val="0039783E"/>
    <w:rsid w:val="003A0009"/>
    <w:rsid w:val="003A0082"/>
    <w:rsid w:val="003A0EFF"/>
    <w:rsid w:val="003A1EF1"/>
    <w:rsid w:val="003A2DF4"/>
    <w:rsid w:val="003A3C7D"/>
    <w:rsid w:val="003A45DD"/>
    <w:rsid w:val="003A5157"/>
    <w:rsid w:val="003A55DC"/>
    <w:rsid w:val="003A56AD"/>
    <w:rsid w:val="003A606B"/>
    <w:rsid w:val="003A73BA"/>
    <w:rsid w:val="003A760D"/>
    <w:rsid w:val="003A76E4"/>
    <w:rsid w:val="003B09AC"/>
    <w:rsid w:val="003B09F2"/>
    <w:rsid w:val="003B0F29"/>
    <w:rsid w:val="003B1035"/>
    <w:rsid w:val="003B1104"/>
    <w:rsid w:val="003B1384"/>
    <w:rsid w:val="003B17EC"/>
    <w:rsid w:val="003B27CF"/>
    <w:rsid w:val="003B293D"/>
    <w:rsid w:val="003B2B3D"/>
    <w:rsid w:val="003B35B8"/>
    <w:rsid w:val="003B3D15"/>
    <w:rsid w:val="003B3D5F"/>
    <w:rsid w:val="003B4482"/>
    <w:rsid w:val="003B4A9D"/>
    <w:rsid w:val="003B4B13"/>
    <w:rsid w:val="003B4D2C"/>
    <w:rsid w:val="003B5050"/>
    <w:rsid w:val="003B535F"/>
    <w:rsid w:val="003B53A6"/>
    <w:rsid w:val="003B5854"/>
    <w:rsid w:val="003B5DBE"/>
    <w:rsid w:val="003B61C4"/>
    <w:rsid w:val="003B652E"/>
    <w:rsid w:val="003B693C"/>
    <w:rsid w:val="003B6A9F"/>
    <w:rsid w:val="003B76AC"/>
    <w:rsid w:val="003B7997"/>
    <w:rsid w:val="003B7FB4"/>
    <w:rsid w:val="003C00E5"/>
    <w:rsid w:val="003C0785"/>
    <w:rsid w:val="003C07A2"/>
    <w:rsid w:val="003C0ECD"/>
    <w:rsid w:val="003C1295"/>
    <w:rsid w:val="003C129B"/>
    <w:rsid w:val="003C1CE5"/>
    <w:rsid w:val="003C27FF"/>
    <w:rsid w:val="003C310A"/>
    <w:rsid w:val="003C3AD0"/>
    <w:rsid w:val="003C3F34"/>
    <w:rsid w:val="003C4330"/>
    <w:rsid w:val="003C4549"/>
    <w:rsid w:val="003C4E5B"/>
    <w:rsid w:val="003C5358"/>
    <w:rsid w:val="003C5F19"/>
    <w:rsid w:val="003C60A9"/>
    <w:rsid w:val="003C6DE9"/>
    <w:rsid w:val="003C7103"/>
    <w:rsid w:val="003C722C"/>
    <w:rsid w:val="003C72CA"/>
    <w:rsid w:val="003C7417"/>
    <w:rsid w:val="003C7985"/>
    <w:rsid w:val="003C7CAC"/>
    <w:rsid w:val="003D0A68"/>
    <w:rsid w:val="003D16CA"/>
    <w:rsid w:val="003D20ED"/>
    <w:rsid w:val="003D23D5"/>
    <w:rsid w:val="003D3736"/>
    <w:rsid w:val="003D3AB2"/>
    <w:rsid w:val="003D3BCA"/>
    <w:rsid w:val="003D425B"/>
    <w:rsid w:val="003D45A4"/>
    <w:rsid w:val="003D4ED7"/>
    <w:rsid w:val="003D59FA"/>
    <w:rsid w:val="003D5AF3"/>
    <w:rsid w:val="003D6531"/>
    <w:rsid w:val="003D6FF0"/>
    <w:rsid w:val="003D7AA0"/>
    <w:rsid w:val="003D7B80"/>
    <w:rsid w:val="003E017A"/>
    <w:rsid w:val="003E1FAF"/>
    <w:rsid w:val="003E20B9"/>
    <w:rsid w:val="003E2DED"/>
    <w:rsid w:val="003E33D9"/>
    <w:rsid w:val="003E3836"/>
    <w:rsid w:val="003E39B9"/>
    <w:rsid w:val="003E3E2C"/>
    <w:rsid w:val="003E3E40"/>
    <w:rsid w:val="003E4AC8"/>
    <w:rsid w:val="003E4BB4"/>
    <w:rsid w:val="003E562A"/>
    <w:rsid w:val="003E5C63"/>
    <w:rsid w:val="003E5E7C"/>
    <w:rsid w:val="003E6253"/>
    <w:rsid w:val="003E64E8"/>
    <w:rsid w:val="003E6A36"/>
    <w:rsid w:val="003E6A77"/>
    <w:rsid w:val="003E6D89"/>
    <w:rsid w:val="003E719F"/>
    <w:rsid w:val="003E7A4C"/>
    <w:rsid w:val="003F0075"/>
    <w:rsid w:val="003F00F2"/>
    <w:rsid w:val="003F0B88"/>
    <w:rsid w:val="003F1428"/>
    <w:rsid w:val="003F14AC"/>
    <w:rsid w:val="003F27A7"/>
    <w:rsid w:val="003F2D09"/>
    <w:rsid w:val="003F33BB"/>
    <w:rsid w:val="003F33E4"/>
    <w:rsid w:val="003F34BF"/>
    <w:rsid w:val="003F37EA"/>
    <w:rsid w:val="003F3E2F"/>
    <w:rsid w:val="003F47F5"/>
    <w:rsid w:val="003F51A1"/>
    <w:rsid w:val="003F542F"/>
    <w:rsid w:val="003F5753"/>
    <w:rsid w:val="003F57A2"/>
    <w:rsid w:val="003F59CC"/>
    <w:rsid w:val="003F5BD9"/>
    <w:rsid w:val="003F5E57"/>
    <w:rsid w:val="003F5F9D"/>
    <w:rsid w:val="003F7652"/>
    <w:rsid w:val="003F7BA8"/>
    <w:rsid w:val="003F7C23"/>
    <w:rsid w:val="003F7EDA"/>
    <w:rsid w:val="003F7F97"/>
    <w:rsid w:val="0040010E"/>
    <w:rsid w:val="0040045B"/>
    <w:rsid w:val="00400614"/>
    <w:rsid w:val="00400B95"/>
    <w:rsid w:val="004017B8"/>
    <w:rsid w:val="00401D87"/>
    <w:rsid w:val="004020EF"/>
    <w:rsid w:val="004023FA"/>
    <w:rsid w:val="00402400"/>
    <w:rsid w:val="00402797"/>
    <w:rsid w:val="00402BF8"/>
    <w:rsid w:val="00403755"/>
    <w:rsid w:val="00403E37"/>
    <w:rsid w:val="004044EC"/>
    <w:rsid w:val="0040498E"/>
    <w:rsid w:val="00404ADB"/>
    <w:rsid w:val="00405527"/>
    <w:rsid w:val="004057AB"/>
    <w:rsid w:val="0040583D"/>
    <w:rsid w:val="00405F49"/>
    <w:rsid w:val="00406227"/>
    <w:rsid w:val="004068DD"/>
    <w:rsid w:val="00406939"/>
    <w:rsid w:val="00406DE7"/>
    <w:rsid w:val="00407AC5"/>
    <w:rsid w:val="00407D3B"/>
    <w:rsid w:val="00407E04"/>
    <w:rsid w:val="004102EF"/>
    <w:rsid w:val="00410A56"/>
    <w:rsid w:val="00410D99"/>
    <w:rsid w:val="00410FBD"/>
    <w:rsid w:val="004114BC"/>
    <w:rsid w:val="00411A03"/>
    <w:rsid w:val="00411C3C"/>
    <w:rsid w:val="00411EE6"/>
    <w:rsid w:val="004124A4"/>
    <w:rsid w:val="00412EB9"/>
    <w:rsid w:val="004138FA"/>
    <w:rsid w:val="004141B5"/>
    <w:rsid w:val="0041424E"/>
    <w:rsid w:val="00414BEF"/>
    <w:rsid w:val="00414DE6"/>
    <w:rsid w:val="00415CC0"/>
    <w:rsid w:val="00415FD6"/>
    <w:rsid w:val="004163A8"/>
    <w:rsid w:val="0041696F"/>
    <w:rsid w:val="00420A74"/>
    <w:rsid w:val="00420D4C"/>
    <w:rsid w:val="00421183"/>
    <w:rsid w:val="00421CDA"/>
    <w:rsid w:val="00421D29"/>
    <w:rsid w:val="0042208F"/>
    <w:rsid w:val="00422378"/>
    <w:rsid w:val="00422567"/>
    <w:rsid w:val="00423B27"/>
    <w:rsid w:val="00423B79"/>
    <w:rsid w:val="004240D2"/>
    <w:rsid w:val="00424540"/>
    <w:rsid w:val="00424771"/>
    <w:rsid w:val="00424A01"/>
    <w:rsid w:val="00424ADF"/>
    <w:rsid w:val="00424B81"/>
    <w:rsid w:val="00425814"/>
    <w:rsid w:val="00425C69"/>
    <w:rsid w:val="00425DAB"/>
    <w:rsid w:val="00426A2A"/>
    <w:rsid w:val="0042767F"/>
    <w:rsid w:val="00427A6B"/>
    <w:rsid w:val="004303B8"/>
    <w:rsid w:val="004303EA"/>
    <w:rsid w:val="0043074F"/>
    <w:rsid w:val="00430B4E"/>
    <w:rsid w:val="00430E7B"/>
    <w:rsid w:val="004310DF"/>
    <w:rsid w:val="00431677"/>
    <w:rsid w:val="00431875"/>
    <w:rsid w:val="004319E1"/>
    <w:rsid w:val="00432128"/>
    <w:rsid w:val="004325D1"/>
    <w:rsid w:val="004329D6"/>
    <w:rsid w:val="00433183"/>
    <w:rsid w:val="0043343D"/>
    <w:rsid w:val="00433AED"/>
    <w:rsid w:val="00433D8C"/>
    <w:rsid w:val="00433EB8"/>
    <w:rsid w:val="00433F7A"/>
    <w:rsid w:val="00433F8E"/>
    <w:rsid w:val="00433FFA"/>
    <w:rsid w:val="0043441E"/>
    <w:rsid w:val="0043444F"/>
    <w:rsid w:val="0043484A"/>
    <w:rsid w:val="00435B11"/>
    <w:rsid w:val="00435B25"/>
    <w:rsid w:val="00435B2D"/>
    <w:rsid w:val="00435F4A"/>
    <w:rsid w:val="00436440"/>
    <w:rsid w:val="0043666F"/>
    <w:rsid w:val="00436928"/>
    <w:rsid w:val="00436EEC"/>
    <w:rsid w:val="00437326"/>
    <w:rsid w:val="004379B6"/>
    <w:rsid w:val="00437C19"/>
    <w:rsid w:val="00437C49"/>
    <w:rsid w:val="00437D4C"/>
    <w:rsid w:val="004400FD"/>
    <w:rsid w:val="00440CFC"/>
    <w:rsid w:val="00440F55"/>
    <w:rsid w:val="0044117C"/>
    <w:rsid w:val="0044128E"/>
    <w:rsid w:val="004414D8"/>
    <w:rsid w:val="00441837"/>
    <w:rsid w:val="004418F2"/>
    <w:rsid w:val="00441944"/>
    <w:rsid w:val="004423B6"/>
    <w:rsid w:val="004434CF"/>
    <w:rsid w:val="00443662"/>
    <w:rsid w:val="0044489C"/>
    <w:rsid w:val="00444AEC"/>
    <w:rsid w:val="00444CF1"/>
    <w:rsid w:val="00444E78"/>
    <w:rsid w:val="004455A5"/>
    <w:rsid w:val="00445911"/>
    <w:rsid w:val="00445F4D"/>
    <w:rsid w:val="00446050"/>
    <w:rsid w:val="00446B6F"/>
    <w:rsid w:val="00446D19"/>
    <w:rsid w:val="00446FC1"/>
    <w:rsid w:val="00447002"/>
    <w:rsid w:val="004473EF"/>
    <w:rsid w:val="004474B1"/>
    <w:rsid w:val="004474C3"/>
    <w:rsid w:val="004479C1"/>
    <w:rsid w:val="00447B47"/>
    <w:rsid w:val="00447C26"/>
    <w:rsid w:val="00447F1A"/>
    <w:rsid w:val="004500D5"/>
    <w:rsid w:val="0045052F"/>
    <w:rsid w:val="00450854"/>
    <w:rsid w:val="0045085A"/>
    <w:rsid w:val="00450CBA"/>
    <w:rsid w:val="00450D87"/>
    <w:rsid w:val="0045110A"/>
    <w:rsid w:val="004520F9"/>
    <w:rsid w:val="00452BE4"/>
    <w:rsid w:val="0045463A"/>
    <w:rsid w:val="00455363"/>
    <w:rsid w:val="00455DEC"/>
    <w:rsid w:val="004563EA"/>
    <w:rsid w:val="004567B8"/>
    <w:rsid w:val="00456B8F"/>
    <w:rsid w:val="00456EAF"/>
    <w:rsid w:val="004572FA"/>
    <w:rsid w:val="004574C4"/>
    <w:rsid w:val="0045768D"/>
    <w:rsid w:val="00457953"/>
    <w:rsid w:val="00457A91"/>
    <w:rsid w:val="004604E9"/>
    <w:rsid w:val="0046087D"/>
    <w:rsid w:val="00460A55"/>
    <w:rsid w:val="0046180A"/>
    <w:rsid w:val="00461993"/>
    <w:rsid w:val="0046204D"/>
    <w:rsid w:val="00462144"/>
    <w:rsid w:val="0046258E"/>
    <w:rsid w:val="004629C5"/>
    <w:rsid w:val="00462BC6"/>
    <w:rsid w:val="00463D1C"/>
    <w:rsid w:val="00463FEB"/>
    <w:rsid w:val="0046425C"/>
    <w:rsid w:val="00464600"/>
    <w:rsid w:val="0046523F"/>
    <w:rsid w:val="004656DC"/>
    <w:rsid w:val="00465AF1"/>
    <w:rsid w:val="00465DB0"/>
    <w:rsid w:val="00465DEA"/>
    <w:rsid w:val="00467A1A"/>
    <w:rsid w:val="00467BA2"/>
    <w:rsid w:val="00467F05"/>
    <w:rsid w:val="004702F5"/>
    <w:rsid w:val="004703FF"/>
    <w:rsid w:val="004706A2"/>
    <w:rsid w:val="00470754"/>
    <w:rsid w:val="00470E0A"/>
    <w:rsid w:val="00470FD7"/>
    <w:rsid w:val="00471759"/>
    <w:rsid w:val="0047183E"/>
    <w:rsid w:val="00471A18"/>
    <w:rsid w:val="00471FA1"/>
    <w:rsid w:val="004721E0"/>
    <w:rsid w:val="00472F9C"/>
    <w:rsid w:val="00473006"/>
    <w:rsid w:val="004735A1"/>
    <w:rsid w:val="00473803"/>
    <w:rsid w:val="00474419"/>
    <w:rsid w:val="00474788"/>
    <w:rsid w:val="004749FE"/>
    <w:rsid w:val="0047573A"/>
    <w:rsid w:val="004757DC"/>
    <w:rsid w:val="00476033"/>
    <w:rsid w:val="00476091"/>
    <w:rsid w:val="00476857"/>
    <w:rsid w:val="004769E8"/>
    <w:rsid w:val="00476A15"/>
    <w:rsid w:val="00476B4E"/>
    <w:rsid w:val="00477631"/>
    <w:rsid w:val="0047782F"/>
    <w:rsid w:val="00477B84"/>
    <w:rsid w:val="004819E4"/>
    <w:rsid w:val="004827A0"/>
    <w:rsid w:val="0048289F"/>
    <w:rsid w:val="004828C6"/>
    <w:rsid w:val="004828D4"/>
    <w:rsid w:val="00482953"/>
    <w:rsid w:val="00482BF7"/>
    <w:rsid w:val="00482DE0"/>
    <w:rsid w:val="00483756"/>
    <w:rsid w:val="004837EC"/>
    <w:rsid w:val="00483F7F"/>
    <w:rsid w:val="004841E9"/>
    <w:rsid w:val="00484660"/>
    <w:rsid w:val="00484675"/>
    <w:rsid w:val="00484799"/>
    <w:rsid w:val="004849FB"/>
    <w:rsid w:val="00484F33"/>
    <w:rsid w:val="00485670"/>
    <w:rsid w:val="00485ECD"/>
    <w:rsid w:val="004864AD"/>
    <w:rsid w:val="004869CF"/>
    <w:rsid w:val="00486C4C"/>
    <w:rsid w:val="00487545"/>
    <w:rsid w:val="00487898"/>
    <w:rsid w:val="004879B9"/>
    <w:rsid w:val="00487DF6"/>
    <w:rsid w:val="00490239"/>
    <w:rsid w:val="00490B1D"/>
    <w:rsid w:val="004916AE"/>
    <w:rsid w:val="00491DC5"/>
    <w:rsid w:val="00492070"/>
    <w:rsid w:val="004923B0"/>
    <w:rsid w:val="004923C8"/>
    <w:rsid w:val="004923D5"/>
    <w:rsid w:val="0049240F"/>
    <w:rsid w:val="004929EC"/>
    <w:rsid w:val="00492D28"/>
    <w:rsid w:val="00492D7A"/>
    <w:rsid w:val="00492F89"/>
    <w:rsid w:val="004932BF"/>
    <w:rsid w:val="004935F6"/>
    <w:rsid w:val="00493B10"/>
    <w:rsid w:val="00493F24"/>
    <w:rsid w:val="0049418E"/>
    <w:rsid w:val="0049465C"/>
    <w:rsid w:val="004946E7"/>
    <w:rsid w:val="00495017"/>
    <w:rsid w:val="004950AF"/>
    <w:rsid w:val="00495123"/>
    <w:rsid w:val="0049577A"/>
    <w:rsid w:val="00495928"/>
    <w:rsid w:val="00495E18"/>
    <w:rsid w:val="00495F62"/>
    <w:rsid w:val="0049615F"/>
    <w:rsid w:val="00496D54"/>
    <w:rsid w:val="00496E4E"/>
    <w:rsid w:val="004971EF"/>
    <w:rsid w:val="00497DB2"/>
    <w:rsid w:val="004A0023"/>
    <w:rsid w:val="004A01ED"/>
    <w:rsid w:val="004A04B7"/>
    <w:rsid w:val="004A0660"/>
    <w:rsid w:val="004A0A00"/>
    <w:rsid w:val="004A0C3D"/>
    <w:rsid w:val="004A190A"/>
    <w:rsid w:val="004A2043"/>
    <w:rsid w:val="004A20AD"/>
    <w:rsid w:val="004A259C"/>
    <w:rsid w:val="004A26F9"/>
    <w:rsid w:val="004A2EB3"/>
    <w:rsid w:val="004A30E2"/>
    <w:rsid w:val="004A3588"/>
    <w:rsid w:val="004A3AFE"/>
    <w:rsid w:val="004A3F5D"/>
    <w:rsid w:val="004A4C79"/>
    <w:rsid w:val="004A6BCC"/>
    <w:rsid w:val="004A6D51"/>
    <w:rsid w:val="004A6F06"/>
    <w:rsid w:val="004A7E7D"/>
    <w:rsid w:val="004B03BB"/>
    <w:rsid w:val="004B03BE"/>
    <w:rsid w:val="004B0D1D"/>
    <w:rsid w:val="004B0DE1"/>
    <w:rsid w:val="004B1950"/>
    <w:rsid w:val="004B1B01"/>
    <w:rsid w:val="004B1B7A"/>
    <w:rsid w:val="004B2839"/>
    <w:rsid w:val="004B300A"/>
    <w:rsid w:val="004B3FF1"/>
    <w:rsid w:val="004B4AE0"/>
    <w:rsid w:val="004B4E7B"/>
    <w:rsid w:val="004B4F49"/>
    <w:rsid w:val="004B5E30"/>
    <w:rsid w:val="004B63F4"/>
    <w:rsid w:val="004B6E1D"/>
    <w:rsid w:val="004B7418"/>
    <w:rsid w:val="004C005A"/>
    <w:rsid w:val="004C0555"/>
    <w:rsid w:val="004C07A8"/>
    <w:rsid w:val="004C0FBA"/>
    <w:rsid w:val="004C1080"/>
    <w:rsid w:val="004C1278"/>
    <w:rsid w:val="004C212F"/>
    <w:rsid w:val="004C22E7"/>
    <w:rsid w:val="004C2569"/>
    <w:rsid w:val="004C2B29"/>
    <w:rsid w:val="004C380E"/>
    <w:rsid w:val="004C3E9B"/>
    <w:rsid w:val="004C3F7B"/>
    <w:rsid w:val="004C444A"/>
    <w:rsid w:val="004C46AB"/>
    <w:rsid w:val="004C4D18"/>
    <w:rsid w:val="004C569E"/>
    <w:rsid w:val="004C5951"/>
    <w:rsid w:val="004C59D6"/>
    <w:rsid w:val="004C5C23"/>
    <w:rsid w:val="004C5F67"/>
    <w:rsid w:val="004C6E20"/>
    <w:rsid w:val="004C6FB5"/>
    <w:rsid w:val="004C78C4"/>
    <w:rsid w:val="004D0A17"/>
    <w:rsid w:val="004D1580"/>
    <w:rsid w:val="004D1A94"/>
    <w:rsid w:val="004D1C45"/>
    <w:rsid w:val="004D1DAF"/>
    <w:rsid w:val="004D2898"/>
    <w:rsid w:val="004D2B88"/>
    <w:rsid w:val="004D2EB8"/>
    <w:rsid w:val="004D354B"/>
    <w:rsid w:val="004D3A3F"/>
    <w:rsid w:val="004D4009"/>
    <w:rsid w:val="004D4545"/>
    <w:rsid w:val="004D4893"/>
    <w:rsid w:val="004D4B40"/>
    <w:rsid w:val="004D512D"/>
    <w:rsid w:val="004D54BF"/>
    <w:rsid w:val="004D5622"/>
    <w:rsid w:val="004D58A1"/>
    <w:rsid w:val="004D5F74"/>
    <w:rsid w:val="004D6109"/>
    <w:rsid w:val="004D6793"/>
    <w:rsid w:val="004D6ED4"/>
    <w:rsid w:val="004D7726"/>
    <w:rsid w:val="004D777C"/>
    <w:rsid w:val="004D7F8B"/>
    <w:rsid w:val="004E0414"/>
    <w:rsid w:val="004E08F2"/>
    <w:rsid w:val="004E10E0"/>
    <w:rsid w:val="004E11EC"/>
    <w:rsid w:val="004E18AB"/>
    <w:rsid w:val="004E198A"/>
    <w:rsid w:val="004E268C"/>
    <w:rsid w:val="004E2A32"/>
    <w:rsid w:val="004E2B59"/>
    <w:rsid w:val="004E2E80"/>
    <w:rsid w:val="004E3522"/>
    <w:rsid w:val="004E3CA3"/>
    <w:rsid w:val="004E3F7E"/>
    <w:rsid w:val="004E472D"/>
    <w:rsid w:val="004E56CB"/>
    <w:rsid w:val="004E5883"/>
    <w:rsid w:val="004E5C1A"/>
    <w:rsid w:val="004E5FB5"/>
    <w:rsid w:val="004E5FE0"/>
    <w:rsid w:val="004E60FF"/>
    <w:rsid w:val="004E67E6"/>
    <w:rsid w:val="004E72F9"/>
    <w:rsid w:val="004E78FA"/>
    <w:rsid w:val="004F01BE"/>
    <w:rsid w:val="004F095F"/>
    <w:rsid w:val="004F0AB8"/>
    <w:rsid w:val="004F1898"/>
    <w:rsid w:val="004F19B8"/>
    <w:rsid w:val="004F19CD"/>
    <w:rsid w:val="004F1F6E"/>
    <w:rsid w:val="004F245D"/>
    <w:rsid w:val="004F2F3A"/>
    <w:rsid w:val="004F40F5"/>
    <w:rsid w:val="004F4166"/>
    <w:rsid w:val="004F43DB"/>
    <w:rsid w:val="004F4A21"/>
    <w:rsid w:val="004F50BF"/>
    <w:rsid w:val="004F55C9"/>
    <w:rsid w:val="004F5E93"/>
    <w:rsid w:val="004F603D"/>
    <w:rsid w:val="004F60F1"/>
    <w:rsid w:val="004F6545"/>
    <w:rsid w:val="004F6D32"/>
    <w:rsid w:val="004F6D66"/>
    <w:rsid w:val="004F6FBA"/>
    <w:rsid w:val="004F6FC8"/>
    <w:rsid w:val="004F70B6"/>
    <w:rsid w:val="004F7671"/>
    <w:rsid w:val="004F78F6"/>
    <w:rsid w:val="004F7F12"/>
    <w:rsid w:val="0050046F"/>
    <w:rsid w:val="00500EEF"/>
    <w:rsid w:val="00500F4C"/>
    <w:rsid w:val="0050108E"/>
    <w:rsid w:val="00501156"/>
    <w:rsid w:val="00501227"/>
    <w:rsid w:val="00501539"/>
    <w:rsid w:val="005015CE"/>
    <w:rsid w:val="00501809"/>
    <w:rsid w:val="00501BD9"/>
    <w:rsid w:val="00501E40"/>
    <w:rsid w:val="00502506"/>
    <w:rsid w:val="005025C2"/>
    <w:rsid w:val="00502A1A"/>
    <w:rsid w:val="0050322E"/>
    <w:rsid w:val="00504380"/>
    <w:rsid w:val="00504C45"/>
    <w:rsid w:val="00504E3C"/>
    <w:rsid w:val="00504FB2"/>
    <w:rsid w:val="00505F2F"/>
    <w:rsid w:val="005062C7"/>
    <w:rsid w:val="00506456"/>
    <w:rsid w:val="00506825"/>
    <w:rsid w:val="00506FA2"/>
    <w:rsid w:val="00507B5F"/>
    <w:rsid w:val="005103B1"/>
    <w:rsid w:val="00510D05"/>
    <w:rsid w:val="00510E06"/>
    <w:rsid w:val="005115AD"/>
    <w:rsid w:val="00512699"/>
    <w:rsid w:val="005132B4"/>
    <w:rsid w:val="005134D9"/>
    <w:rsid w:val="0051361C"/>
    <w:rsid w:val="00514B31"/>
    <w:rsid w:val="005153B4"/>
    <w:rsid w:val="00515680"/>
    <w:rsid w:val="00515DDA"/>
    <w:rsid w:val="005169E9"/>
    <w:rsid w:val="00516A23"/>
    <w:rsid w:val="005173F5"/>
    <w:rsid w:val="00517685"/>
    <w:rsid w:val="005178F4"/>
    <w:rsid w:val="00517D7F"/>
    <w:rsid w:val="00517E7D"/>
    <w:rsid w:val="005200E1"/>
    <w:rsid w:val="0052013C"/>
    <w:rsid w:val="00520779"/>
    <w:rsid w:val="00520BFA"/>
    <w:rsid w:val="00521B00"/>
    <w:rsid w:val="0052239E"/>
    <w:rsid w:val="005230FD"/>
    <w:rsid w:val="0052365C"/>
    <w:rsid w:val="0052392C"/>
    <w:rsid w:val="00523AAC"/>
    <w:rsid w:val="00523CF5"/>
    <w:rsid w:val="0052405E"/>
    <w:rsid w:val="005246FD"/>
    <w:rsid w:val="005247C2"/>
    <w:rsid w:val="00525037"/>
    <w:rsid w:val="0052503A"/>
    <w:rsid w:val="0052539F"/>
    <w:rsid w:val="00525444"/>
    <w:rsid w:val="00525A4C"/>
    <w:rsid w:val="00525AC1"/>
    <w:rsid w:val="00525C51"/>
    <w:rsid w:val="00525D7A"/>
    <w:rsid w:val="00526557"/>
    <w:rsid w:val="00526E67"/>
    <w:rsid w:val="00527A7C"/>
    <w:rsid w:val="00527CDB"/>
    <w:rsid w:val="00527D72"/>
    <w:rsid w:val="00530417"/>
    <w:rsid w:val="00530B0F"/>
    <w:rsid w:val="00530C0D"/>
    <w:rsid w:val="005312F8"/>
    <w:rsid w:val="005314AB"/>
    <w:rsid w:val="00531C8D"/>
    <w:rsid w:val="00531DE7"/>
    <w:rsid w:val="005321B7"/>
    <w:rsid w:val="005323E3"/>
    <w:rsid w:val="005328C3"/>
    <w:rsid w:val="00533153"/>
    <w:rsid w:val="00533799"/>
    <w:rsid w:val="0053379A"/>
    <w:rsid w:val="005337D5"/>
    <w:rsid w:val="005348A4"/>
    <w:rsid w:val="00534E6D"/>
    <w:rsid w:val="00535965"/>
    <w:rsid w:val="00535C60"/>
    <w:rsid w:val="00535FB6"/>
    <w:rsid w:val="00536091"/>
    <w:rsid w:val="00536318"/>
    <w:rsid w:val="0053679A"/>
    <w:rsid w:val="00537657"/>
    <w:rsid w:val="00537758"/>
    <w:rsid w:val="0054014D"/>
    <w:rsid w:val="005401AD"/>
    <w:rsid w:val="0054067C"/>
    <w:rsid w:val="00540D2A"/>
    <w:rsid w:val="00541044"/>
    <w:rsid w:val="00541C62"/>
    <w:rsid w:val="00541E1A"/>
    <w:rsid w:val="00541EAF"/>
    <w:rsid w:val="005421C2"/>
    <w:rsid w:val="00543354"/>
    <w:rsid w:val="005435D8"/>
    <w:rsid w:val="005436FF"/>
    <w:rsid w:val="005437B7"/>
    <w:rsid w:val="00543AF4"/>
    <w:rsid w:val="00543B23"/>
    <w:rsid w:val="00543E03"/>
    <w:rsid w:val="0054433D"/>
    <w:rsid w:val="00544CE8"/>
    <w:rsid w:val="005458CE"/>
    <w:rsid w:val="00545CE2"/>
    <w:rsid w:val="00545EE8"/>
    <w:rsid w:val="00545F4F"/>
    <w:rsid w:val="00545F60"/>
    <w:rsid w:val="005475C3"/>
    <w:rsid w:val="00547754"/>
    <w:rsid w:val="0054782B"/>
    <w:rsid w:val="0054799F"/>
    <w:rsid w:val="00550BD7"/>
    <w:rsid w:val="00550F22"/>
    <w:rsid w:val="0055104D"/>
    <w:rsid w:val="005511D7"/>
    <w:rsid w:val="00551371"/>
    <w:rsid w:val="005513DE"/>
    <w:rsid w:val="00551535"/>
    <w:rsid w:val="005518C2"/>
    <w:rsid w:val="00551C98"/>
    <w:rsid w:val="005520E3"/>
    <w:rsid w:val="005529C8"/>
    <w:rsid w:val="00552B6B"/>
    <w:rsid w:val="00552BDA"/>
    <w:rsid w:val="0055350F"/>
    <w:rsid w:val="005536BC"/>
    <w:rsid w:val="005539B5"/>
    <w:rsid w:val="00553C5B"/>
    <w:rsid w:val="0055427C"/>
    <w:rsid w:val="00554B2A"/>
    <w:rsid w:val="00554B2F"/>
    <w:rsid w:val="005554E5"/>
    <w:rsid w:val="00556FAD"/>
    <w:rsid w:val="00557118"/>
    <w:rsid w:val="0055729C"/>
    <w:rsid w:val="00557DE7"/>
    <w:rsid w:val="005609F3"/>
    <w:rsid w:val="005612C1"/>
    <w:rsid w:val="00561C51"/>
    <w:rsid w:val="00562123"/>
    <w:rsid w:val="00562388"/>
    <w:rsid w:val="0056275B"/>
    <w:rsid w:val="005627EE"/>
    <w:rsid w:val="00562F11"/>
    <w:rsid w:val="0056357E"/>
    <w:rsid w:val="00563B07"/>
    <w:rsid w:val="00563CDF"/>
    <w:rsid w:val="00563DEA"/>
    <w:rsid w:val="00564039"/>
    <w:rsid w:val="00564750"/>
    <w:rsid w:val="00564874"/>
    <w:rsid w:val="00564DE5"/>
    <w:rsid w:val="00566160"/>
    <w:rsid w:val="00566834"/>
    <w:rsid w:val="005668F0"/>
    <w:rsid w:val="00566C3F"/>
    <w:rsid w:val="0056739D"/>
    <w:rsid w:val="005677E2"/>
    <w:rsid w:val="0057019F"/>
    <w:rsid w:val="005704E5"/>
    <w:rsid w:val="00570549"/>
    <w:rsid w:val="0057096A"/>
    <w:rsid w:val="0057113A"/>
    <w:rsid w:val="0057139E"/>
    <w:rsid w:val="00572056"/>
    <w:rsid w:val="00572899"/>
    <w:rsid w:val="00572B8C"/>
    <w:rsid w:val="00572BBF"/>
    <w:rsid w:val="0057313F"/>
    <w:rsid w:val="00573B85"/>
    <w:rsid w:val="00574342"/>
    <w:rsid w:val="00574374"/>
    <w:rsid w:val="005754DE"/>
    <w:rsid w:val="005758A0"/>
    <w:rsid w:val="00575C2F"/>
    <w:rsid w:val="00576226"/>
    <w:rsid w:val="00576798"/>
    <w:rsid w:val="00577D2F"/>
    <w:rsid w:val="00577E21"/>
    <w:rsid w:val="005801E2"/>
    <w:rsid w:val="00580450"/>
    <w:rsid w:val="005808C8"/>
    <w:rsid w:val="0058093F"/>
    <w:rsid w:val="00580B1C"/>
    <w:rsid w:val="00580CDE"/>
    <w:rsid w:val="00581252"/>
    <w:rsid w:val="005818FC"/>
    <w:rsid w:val="00582DC6"/>
    <w:rsid w:val="00583AD3"/>
    <w:rsid w:val="00584034"/>
    <w:rsid w:val="0058422C"/>
    <w:rsid w:val="0058493A"/>
    <w:rsid w:val="00584A3E"/>
    <w:rsid w:val="00584B25"/>
    <w:rsid w:val="00584B30"/>
    <w:rsid w:val="00584F26"/>
    <w:rsid w:val="00585EDF"/>
    <w:rsid w:val="00585F5E"/>
    <w:rsid w:val="0058627B"/>
    <w:rsid w:val="00586940"/>
    <w:rsid w:val="00586DC7"/>
    <w:rsid w:val="00586E7B"/>
    <w:rsid w:val="005877D9"/>
    <w:rsid w:val="00590390"/>
    <w:rsid w:val="005908E6"/>
    <w:rsid w:val="00590BD9"/>
    <w:rsid w:val="00590D92"/>
    <w:rsid w:val="0059167D"/>
    <w:rsid w:val="005917B4"/>
    <w:rsid w:val="00591A92"/>
    <w:rsid w:val="00592B9F"/>
    <w:rsid w:val="00592C75"/>
    <w:rsid w:val="0059337C"/>
    <w:rsid w:val="00593561"/>
    <w:rsid w:val="00593E66"/>
    <w:rsid w:val="005943AF"/>
    <w:rsid w:val="005951E9"/>
    <w:rsid w:val="00596392"/>
    <w:rsid w:val="00596804"/>
    <w:rsid w:val="00596F08"/>
    <w:rsid w:val="0059796B"/>
    <w:rsid w:val="00597DFE"/>
    <w:rsid w:val="00597E68"/>
    <w:rsid w:val="00597FAF"/>
    <w:rsid w:val="005A0629"/>
    <w:rsid w:val="005A0ACB"/>
    <w:rsid w:val="005A0C5E"/>
    <w:rsid w:val="005A13E7"/>
    <w:rsid w:val="005A1CDD"/>
    <w:rsid w:val="005A1E0A"/>
    <w:rsid w:val="005A30CE"/>
    <w:rsid w:val="005A3D06"/>
    <w:rsid w:val="005A3DA9"/>
    <w:rsid w:val="005A3E15"/>
    <w:rsid w:val="005A3F62"/>
    <w:rsid w:val="005A41BF"/>
    <w:rsid w:val="005A495D"/>
    <w:rsid w:val="005A5439"/>
    <w:rsid w:val="005A5FA0"/>
    <w:rsid w:val="005A63BE"/>
    <w:rsid w:val="005A6CC1"/>
    <w:rsid w:val="005A6CCD"/>
    <w:rsid w:val="005A7107"/>
    <w:rsid w:val="005A73C1"/>
    <w:rsid w:val="005A7980"/>
    <w:rsid w:val="005B1711"/>
    <w:rsid w:val="005B174D"/>
    <w:rsid w:val="005B1A6F"/>
    <w:rsid w:val="005B1B20"/>
    <w:rsid w:val="005B1EDD"/>
    <w:rsid w:val="005B2540"/>
    <w:rsid w:val="005B29AF"/>
    <w:rsid w:val="005B2D51"/>
    <w:rsid w:val="005B3492"/>
    <w:rsid w:val="005B37B5"/>
    <w:rsid w:val="005B39D2"/>
    <w:rsid w:val="005B3B36"/>
    <w:rsid w:val="005B3F0A"/>
    <w:rsid w:val="005B42B7"/>
    <w:rsid w:val="005B4920"/>
    <w:rsid w:val="005B4BAA"/>
    <w:rsid w:val="005B545C"/>
    <w:rsid w:val="005B55F8"/>
    <w:rsid w:val="005B56A3"/>
    <w:rsid w:val="005B5924"/>
    <w:rsid w:val="005B5BF7"/>
    <w:rsid w:val="005B5F68"/>
    <w:rsid w:val="005B655C"/>
    <w:rsid w:val="005B6561"/>
    <w:rsid w:val="005B7A12"/>
    <w:rsid w:val="005B7E9D"/>
    <w:rsid w:val="005C0453"/>
    <w:rsid w:val="005C11D4"/>
    <w:rsid w:val="005C1921"/>
    <w:rsid w:val="005C19A6"/>
    <w:rsid w:val="005C21D1"/>
    <w:rsid w:val="005C24B6"/>
    <w:rsid w:val="005C2673"/>
    <w:rsid w:val="005C29FA"/>
    <w:rsid w:val="005C2C95"/>
    <w:rsid w:val="005C5C8C"/>
    <w:rsid w:val="005C66C3"/>
    <w:rsid w:val="005C6858"/>
    <w:rsid w:val="005C686A"/>
    <w:rsid w:val="005C6E0C"/>
    <w:rsid w:val="005C6EDB"/>
    <w:rsid w:val="005C7C91"/>
    <w:rsid w:val="005D0374"/>
    <w:rsid w:val="005D0763"/>
    <w:rsid w:val="005D0AE5"/>
    <w:rsid w:val="005D0E70"/>
    <w:rsid w:val="005D0EFB"/>
    <w:rsid w:val="005D0FD8"/>
    <w:rsid w:val="005D1579"/>
    <w:rsid w:val="005D243F"/>
    <w:rsid w:val="005D371E"/>
    <w:rsid w:val="005D3DE0"/>
    <w:rsid w:val="005D3F0D"/>
    <w:rsid w:val="005D4BCD"/>
    <w:rsid w:val="005D4C84"/>
    <w:rsid w:val="005D56D6"/>
    <w:rsid w:val="005D57F3"/>
    <w:rsid w:val="005D6199"/>
    <w:rsid w:val="005D7305"/>
    <w:rsid w:val="005D771A"/>
    <w:rsid w:val="005E0645"/>
    <w:rsid w:val="005E0A24"/>
    <w:rsid w:val="005E0B96"/>
    <w:rsid w:val="005E0E26"/>
    <w:rsid w:val="005E115B"/>
    <w:rsid w:val="005E17EF"/>
    <w:rsid w:val="005E1F04"/>
    <w:rsid w:val="005E1F1F"/>
    <w:rsid w:val="005E212D"/>
    <w:rsid w:val="005E3255"/>
    <w:rsid w:val="005E3734"/>
    <w:rsid w:val="005E3CC8"/>
    <w:rsid w:val="005E4156"/>
    <w:rsid w:val="005E41DA"/>
    <w:rsid w:val="005E4C14"/>
    <w:rsid w:val="005E54F8"/>
    <w:rsid w:val="005E58F1"/>
    <w:rsid w:val="005E5F04"/>
    <w:rsid w:val="005E6899"/>
    <w:rsid w:val="005E6BDA"/>
    <w:rsid w:val="005E7559"/>
    <w:rsid w:val="005E7600"/>
    <w:rsid w:val="005F050F"/>
    <w:rsid w:val="005F0CB2"/>
    <w:rsid w:val="005F0FF8"/>
    <w:rsid w:val="005F16D9"/>
    <w:rsid w:val="005F1BA7"/>
    <w:rsid w:val="005F2A84"/>
    <w:rsid w:val="005F2C40"/>
    <w:rsid w:val="005F2D6E"/>
    <w:rsid w:val="005F2E69"/>
    <w:rsid w:val="005F313F"/>
    <w:rsid w:val="005F31A3"/>
    <w:rsid w:val="005F4DCE"/>
    <w:rsid w:val="005F51C9"/>
    <w:rsid w:val="005F5309"/>
    <w:rsid w:val="005F66E6"/>
    <w:rsid w:val="005F68E9"/>
    <w:rsid w:val="005F6925"/>
    <w:rsid w:val="005F6B27"/>
    <w:rsid w:val="005F6B64"/>
    <w:rsid w:val="005F760A"/>
    <w:rsid w:val="005F7AE3"/>
    <w:rsid w:val="00600EFF"/>
    <w:rsid w:val="00601706"/>
    <w:rsid w:val="0060180C"/>
    <w:rsid w:val="0060184B"/>
    <w:rsid w:val="00601A52"/>
    <w:rsid w:val="00601DAD"/>
    <w:rsid w:val="00601FB9"/>
    <w:rsid w:val="00602DA4"/>
    <w:rsid w:val="00602DAA"/>
    <w:rsid w:val="00602E73"/>
    <w:rsid w:val="00603627"/>
    <w:rsid w:val="006036A6"/>
    <w:rsid w:val="00603E2B"/>
    <w:rsid w:val="00603FA8"/>
    <w:rsid w:val="006043F5"/>
    <w:rsid w:val="0060463D"/>
    <w:rsid w:val="00604F48"/>
    <w:rsid w:val="006050DD"/>
    <w:rsid w:val="0060551D"/>
    <w:rsid w:val="006055D7"/>
    <w:rsid w:val="00605650"/>
    <w:rsid w:val="006062EF"/>
    <w:rsid w:val="00606DC2"/>
    <w:rsid w:val="00606EBC"/>
    <w:rsid w:val="0060703E"/>
    <w:rsid w:val="006070B6"/>
    <w:rsid w:val="006076FB"/>
    <w:rsid w:val="00607BAF"/>
    <w:rsid w:val="00607C47"/>
    <w:rsid w:val="00607E00"/>
    <w:rsid w:val="00607EEF"/>
    <w:rsid w:val="006100CB"/>
    <w:rsid w:val="0061025C"/>
    <w:rsid w:val="00610721"/>
    <w:rsid w:val="00610880"/>
    <w:rsid w:val="00610C33"/>
    <w:rsid w:val="00610CF5"/>
    <w:rsid w:val="00611274"/>
    <w:rsid w:val="00611990"/>
    <w:rsid w:val="00612702"/>
    <w:rsid w:val="00612D19"/>
    <w:rsid w:val="00612E8E"/>
    <w:rsid w:val="0061317B"/>
    <w:rsid w:val="006138E9"/>
    <w:rsid w:val="00613972"/>
    <w:rsid w:val="00613F28"/>
    <w:rsid w:val="00613F83"/>
    <w:rsid w:val="006141CC"/>
    <w:rsid w:val="006143D1"/>
    <w:rsid w:val="006144D9"/>
    <w:rsid w:val="006145E8"/>
    <w:rsid w:val="00614CFD"/>
    <w:rsid w:val="006159F2"/>
    <w:rsid w:val="00615E70"/>
    <w:rsid w:val="0061613C"/>
    <w:rsid w:val="00617066"/>
    <w:rsid w:val="006170F2"/>
    <w:rsid w:val="00617331"/>
    <w:rsid w:val="00617398"/>
    <w:rsid w:val="00617439"/>
    <w:rsid w:val="0061761D"/>
    <w:rsid w:val="00617D43"/>
    <w:rsid w:val="00617EBD"/>
    <w:rsid w:val="0062027B"/>
    <w:rsid w:val="0062047D"/>
    <w:rsid w:val="006206AF"/>
    <w:rsid w:val="006207E9"/>
    <w:rsid w:val="00620D26"/>
    <w:rsid w:val="00621388"/>
    <w:rsid w:val="00621E70"/>
    <w:rsid w:val="00622319"/>
    <w:rsid w:val="00622663"/>
    <w:rsid w:val="00622D85"/>
    <w:rsid w:val="006233BF"/>
    <w:rsid w:val="00623B7C"/>
    <w:rsid w:val="0062558C"/>
    <w:rsid w:val="00625965"/>
    <w:rsid w:val="00626B7E"/>
    <w:rsid w:val="00627684"/>
    <w:rsid w:val="00627A87"/>
    <w:rsid w:val="00630055"/>
    <w:rsid w:val="00630136"/>
    <w:rsid w:val="00630CD5"/>
    <w:rsid w:val="00630DD3"/>
    <w:rsid w:val="006311B9"/>
    <w:rsid w:val="006311EC"/>
    <w:rsid w:val="006318EA"/>
    <w:rsid w:val="00632BA7"/>
    <w:rsid w:val="00632C89"/>
    <w:rsid w:val="00632E8C"/>
    <w:rsid w:val="00633116"/>
    <w:rsid w:val="00633DD0"/>
    <w:rsid w:val="006343BC"/>
    <w:rsid w:val="00634A0C"/>
    <w:rsid w:val="00634EF8"/>
    <w:rsid w:val="00634F11"/>
    <w:rsid w:val="006351F9"/>
    <w:rsid w:val="00635649"/>
    <w:rsid w:val="006356D2"/>
    <w:rsid w:val="0063590D"/>
    <w:rsid w:val="006359BA"/>
    <w:rsid w:val="006359F5"/>
    <w:rsid w:val="00635A18"/>
    <w:rsid w:val="00635AE0"/>
    <w:rsid w:val="00635DE2"/>
    <w:rsid w:val="0063639E"/>
    <w:rsid w:val="0063678A"/>
    <w:rsid w:val="00636820"/>
    <w:rsid w:val="00636ACA"/>
    <w:rsid w:val="00637061"/>
    <w:rsid w:val="00637261"/>
    <w:rsid w:val="0063768E"/>
    <w:rsid w:val="006377D3"/>
    <w:rsid w:val="00637BB7"/>
    <w:rsid w:val="0064016D"/>
    <w:rsid w:val="00640972"/>
    <w:rsid w:val="00640FF3"/>
    <w:rsid w:val="00641850"/>
    <w:rsid w:val="006422EB"/>
    <w:rsid w:val="00642ADD"/>
    <w:rsid w:val="0064402C"/>
    <w:rsid w:val="0064407A"/>
    <w:rsid w:val="00644451"/>
    <w:rsid w:val="00645983"/>
    <w:rsid w:val="00645A3A"/>
    <w:rsid w:val="00645C45"/>
    <w:rsid w:val="006464FD"/>
    <w:rsid w:val="0064672E"/>
    <w:rsid w:val="00646816"/>
    <w:rsid w:val="0064706E"/>
    <w:rsid w:val="0064763A"/>
    <w:rsid w:val="006503BD"/>
    <w:rsid w:val="0065047D"/>
    <w:rsid w:val="006513C1"/>
    <w:rsid w:val="00651D21"/>
    <w:rsid w:val="00652DF9"/>
    <w:rsid w:val="006544DB"/>
    <w:rsid w:val="00654784"/>
    <w:rsid w:val="00655FC4"/>
    <w:rsid w:val="00656647"/>
    <w:rsid w:val="00656DC2"/>
    <w:rsid w:val="0065713B"/>
    <w:rsid w:val="0065713C"/>
    <w:rsid w:val="0065773E"/>
    <w:rsid w:val="00657C9A"/>
    <w:rsid w:val="00657FAB"/>
    <w:rsid w:val="00660B1F"/>
    <w:rsid w:val="00660F01"/>
    <w:rsid w:val="00662194"/>
    <w:rsid w:val="006622FF"/>
    <w:rsid w:val="00662445"/>
    <w:rsid w:val="00662987"/>
    <w:rsid w:val="00662A96"/>
    <w:rsid w:val="006632B4"/>
    <w:rsid w:val="00663512"/>
    <w:rsid w:val="00663B17"/>
    <w:rsid w:val="00663C6D"/>
    <w:rsid w:val="006643D7"/>
    <w:rsid w:val="00664972"/>
    <w:rsid w:val="00664A39"/>
    <w:rsid w:val="00664AB1"/>
    <w:rsid w:val="00665E0E"/>
    <w:rsid w:val="0066610B"/>
    <w:rsid w:val="00666165"/>
    <w:rsid w:val="00666967"/>
    <w:rsid w:val="00666A40"/>
    <w:rsid w:val="00667D05"/>
    <w:rsid w:val="00667F37"/>
    <w:rsid w:val="006702A8"/>
    <w:rsid w:val="006702C8"/>
    <w:rsid w:val="00671424"/>
    <w:rsid w:val="00671441"/>
    <w:rsid w:val="00671848"/>
    <w:rsid w:val="00671FE2"/>
    <w:rsid w:val="00672114"/>
    <w:rsid w:val="006723D2"/>
    <w:rsid w:val="0067278E"/>
    <w:rsid w:val="00672DC5"/>
    <w:rsid w:val="00673014"/>
    <w:rsid w:val="006731F8"/>
    <w:rsid w:val="00673A0B"/>
    <w:rsid w:val="006749FF"/>
    <w:rsid w:val="006752C9"/>
    <w:rsid w:val="006755C1"/>
    <w:rsid w:val="0067578E"/>
    <w:rsid w:val="0067620C"/>
    <w:rsid w:val="006772A7"/>
    <w:rsid w:val="006772CA"/>
    <w:rsid w:val="006774C9"/>
    <w:rsid w:val="00677EE9"/>
    <w:rsid w:val="00680344"/>
    <w:rsid w:val="00681D01"/>
    <w:rsid w:val="00681F58"/>
    <w:rsid w:val="006820CA"/>
    <w:rsid w:val="006822DA"/>
    <w:rsid w:val="00682458"/>
    <w:rsid w:val="00682473"/>
    <w:rsid w:val="006824FF"/>
    <w:rsid w:val="006829A8"/>
    <w:rsid w:val="00682FBC"/>
    <w:rsid w:val="0068344D"/>
    <w:rsid w:val="00683A57"/>
    <w:rsid w:val="0068449E"/>
    <w:rsid w:val="00684A4C"/>
    <w:rsid w:val="00684C2D"/>
    <w:rsid w:val="00685269"/>
    <w:rsid w:val="0068581D"/>
    <w:rsid w:val="00685EFB"/>
    <w:rsid w:val="006868A8"/>
    <w:rsid w:val="00686CF0"/>
    <w:rsid w:val="00686E41"/>
    <w:rsid w:val="0068716C"/>
    <w:rsid w:val="00687277"/>
    <w:rsid w:val="006873EA"/>
    <w:rsid w:val="00687C55"/>
    <w:rsid w:val="00690E98"/>
    <w:rsid w:val="006911D5"/>
    <w:rsid w:val="00691306"/>
    <w:rsid w:val="00691A12"/>
    <w:rsid w:val="00691CB9"/>
    <w:rsid w:val="00692162"/>
    <w:rsid w:val="00692680"/>
    <w:rsid w:val="006929F1"/>
    <w:rsid w:val="00692F3F"/>
    <w:rsid w:val="00693024"/>
    <w:rsid w:val="006932E0"/>
    <w:rsid w:val="0069430B"/>
    <w:rsid w:val="0069438C"/>
    <w:rsid w:val="00694ABE"/>
    <w:rsid w:val="00694E49"/>
    <w:rsid w:val="00695266"/>
    <w:rsid w:val="006956B0"/>
    <w:rsid w:val="006962F2"/>
    <w:rsid w:val="00696805"/>
    <w:rsid w:val="00696F74"/>
    <w:rsid w:val="00697561"/>
    <w:rsid w:val="00697DEA"/>
    <w:rsid w:val="006A024A"/>
    <w:rsid w:val="006A03FF"/>
    <w:rsid w:val="006A0D7D"/>
    <w:rsid w:val="006A0E74"/>
    <w:rsid w:val="006A0FE1"/>
    <w:rsid w:val="006A20AB"/>
    <w:rsid w:val="006A2166"/>
    <w:rsid w:val="006A218F"/>
    <w:rsid w:val="006A24DE"/>
    <w:rsid w:val="006A25CA"/>
    <w:rsid w:val="006A2853"/>
    <w:rsid w:val="006A3A7C"/>
    <w:rsid w:val="006A3BCC"/>
    <w:rsid w:val="006A3E54"/>
    <w:rsid w:val="006A3F76"/>
    <w:rsid w:val="006A4054"/>
    <w:rsid w:val="006A40A1"/>
    <w:rsid w:val="006A45AD"/>
    <w:rsid w:val="006A50D3"/>
    <w:rsid w:val="006A579A"/>
    <w:rsid w:val="006A57AB"/>
    <w:rsid w:val="006A5C00"/>
    <w:rsid w:val="006A5E3D"/>
    <w:rsid w:val="006A6165"/>
    <w:rsid w:val="006A6392"/>
    <w:rsid w:val="006A6443"/>
    <w:rsid w:val="006A672C"/>
    <w:rsid w:val="006A714A"/>
    <w:rsid w:val="006A75F5"/>
    <w:rsid w:val="006A7630"/>
    <w:rsid w:val="006A783E"/>
    <w:rsid w:val="006A7E28"/>
    <w:rsid w:val="006B0EBD"/>
    <w:rsid w:val="006B0F11"/>
    <w:rsid w:val="006B2116"/>
    <w:rsid w:val="006B266C"/>
    <w:rsid w:val="006B2982"/>
    <w:rsid w:val="006B2BD1"/>
    <w:rsid w:val="006B34DE"/>
    <w:rsid w:val="006B38C5"/>
    <w:rsid w:val="006B47FF"/>
    <w:rsid w:val="006B5075"/>
    <w:rsid w:val="006B5623"/>
    <w:rsid w:val="006B6AC8"/>
    <w:rsid w:val="006B6CB0"/>
    <w:rsid w:val="006B6E1E"/>
    <w:rsid w:val="006B7090"/>
    <w:rsid w:val="006C0186"/>
    <w:rsid w:val="006C0740"/>
    <w:rsid w:val="006C0A4C"/>
    <w:rsid w:val="006C0BDB"/>
    <w:rsid w:val="006C0ED2"/>
    <w:rsid w:val="006C123B"/>
    <w:rsid w:val="006C13FE"/>
    <w:rsid w:val="006C17A2"/>
    <w:rsid w:val="006C1B43"/>
    <w:rsid w:val="006C1D7C"/>
    <w:rsid w:val="006C2664"/>
    <w:rsid w:val="006C2728"/>
    <w:rsid w:val="006C2A7E"/>
    <w:rsid w:val="006C3011"/>
    <w:rsid w:val="006C4523"/>
    <w:rsid w:val="006C4F9E"/>
    <w:rsid w:val="006C5D95"/>
    <w:rsid w:val="006C5E72"/>
    <w:rsid w:val="006C5F00"/>
    <w:rsid w:val="006C6FA2"/>
    <w:rsid w:val="006C7000"/>
    <w:rsid w:val="006C700E"/>
    <w:rsid w:val="006C7763"/>
    <w:rsid w:val="006D012B"/>
    <w:rsid w:val="006D0488"/>
    <w:rsid w:val="006D0A72"/>
    <w:rsid w:val="006D12A7"/>
    <w:rsid w:val="006D25E0"/>
    <w:rsid w:val="006D2BD5"/>
    <w:rsid w:val="006D3E7C"/>
    <w:rsid w:val="006D3ECE"/>
    <w:rsid w:val="006D403E"/>
    <w:rsid w:val="006D4E45"/>
    <w:rsid w:val="006D5242"/>
    <w:rsid w:val="006D5350"/>
    <w:rsid w:val="006D5B19"/>
    <w:rsid w:val="006D5D06"/>
    <w:rsid w:val="006D6ABE"/>
    <w:rsid w:val="006E00AE"/>
    <w:rsid w:val="006E0317"/>
    <w:rsid w:val="006E0511"/>
    <w:rsid w:val="006E0EE3"/>
    <w:rsid w:val="006E1107"/>
    <w:rsid w:val="006E1285"/>
    <w:rsid w:val="006E12C1"/>
    <w:rsid w:val="006E1755"/>
    <w:rsid w:val="006E28E1"/>
    <w:rsid w:val="006E34C4"/>
    <w:rsid w:val="006E3F07"/>
    <w:rsid w:val="006E4227"/>
    <w:rsid w:val="006E42F9"/>
    <w:rsid w:val="006E4308"/>
    <w:rsid w:val="006E44EA"/>
    <w:rsid w:val="006E4FDB"/>
    <w:rsid w:val="006E4FF5"/>
    <w:rsid w:val="006E5580"/>
    <w:rsid w:val="006E5997"/>
    <w:rsid w:val="006E69D8"/>
    <w:rsid w:val="006E6EDF"/>
    <w:rsid w:val="006E7041"/>
    <w:rsid w:val="006E7545"/>
    <w:rsid w:val="006E77B3"/>
    <w:rsid w:val="006E7DC2"/>
    <w:rsid w:val="006F0164"/>
    <w:rsid w:val="006F043F"/>
    <w:rsid w:val="006F06BB"/>
    <w:rsid w:val="006F0D20"/>
    <w:rsid w:val="006F0D73"/>
    <w:rsid w:val="006F10B0"/>
    <w:rsid w:val="006F12F6"/>
    <w:rsid w:val="006F12F9"/>
    <w:rsid w:val="006F1342"/>
    <w:rsid w:val="006F2378"/>
    <w:rsid w:val="006F34EA"/>
    <w:rsid w:val="006F3EF5"/>
    <w:rsid w:val="006F3F07"/>
    <w:rsid w:val="006F4173"/>
    <w:rsid w:val="006F49F0"/>
    <w:rsid w:val="006F505F"/>
    <w:rsid w:val="006F50ED"/>
    <w:rsid w:val="006F5AD6"/>
    <w:rsid w:val="006F64EA"/>
    <w:rsid w:val="006F6B27"/>
    <w:rsid w:val="006F6EA3"/>
    <w:rsid w:val="006F71A2"/>
    <w:rsid w:val="006F7610"/>
    <w:rsid w:val="006F7A5A"/>
    <w:rsid w:val="006F7F96"/>
    <w:rsid w:val="0070090E"/>
    <w:rsid w:val="00700A22"/>
    <w:rsid w:val="007019E2"/>
    <w:rsid w:val="0070278E"/>
    <w:rsid w:val="00702E8D"/>
    <w:rsid w:val="0070360B"/>
    <w:rsid w:val="00703AD2"/>
    <w:rsid w:val="00704726"/>
    <w:rsid w:val="00704B3C"/>
    <w:rsid w:val="00704B5D"/>
    <w:rsid w:val="007053E7"/>
    <w:rsid w:val="0070579F"/>
    <w:rsid w:val="00705884"/>
    <w:rsid w:val="007058AE"/>
    <w:rsid w:val="00705ABA"/>
    <w:rsid w:val="00705BD1"/>
    <w:rsid w:val="00705DDE"/>
    <w:rsid w:val="00705EA8"/>
    <w:rsid w:val="007063F2"/>
    <w:rsid w:val="00706B94"/>
    <w:rsid w:val="00706E77"/>
    <w:rsid w:val="00707B2E"/>
    <w:rsid w:val="007103CF"/>
    <w:rsid w:val="0071068D"/>
    <w:rsid w:val="00710B00"/>
    <w:rsid w:val="00711471"/>
    <w:rsid w:val="00711E82"/>
    <w:rsid w:val="00711F06"/>
    <w:rsid w:val="00711F5F"/>
    <w:rsid w:val="007122BA"/>
    <w:rsid w:val="007122C2"/>
    <w:rsid w:val="0071240E"/>
    <w:rsid w:val="007127BE"/>
    <w:rsid w:val="00712CB1"/>
    <w:rsid w:val="00712D4B"/>
    <w:rsid w:val="007133C0"/>
    <w:rsid w:val="007140FF"/>
    <w:rsid w:val="00714181"/>
    <w:rsid w:val="00714EB4"/>
    <w:rsid w:val="007152ED"/>
    <w:rsid w:val="00715896"/>
    <w:rsid w:val="00715CDF"/>
    <w:rsid w:val="007165FD"/>
    <w:rsid w:val="00716C58"/>
    <w:rsid w:val="00716DEA"/>
    <w:rsid w:val="00717E80"/>
    <w:rsid w:val="0072067A"/>
    <w:rsid w:val="007206CA"/>
    <w:rsid w:val="0072090A"/>
    <w:rsid w:val="00720B43"/>
    <w:rsid w:val="0072105B"/>
    <w:rsid w:val="00721CFF"/>
    <w:rsid w:val="00721F41"/>
    <w:rsid w:val="00722080"/>
    <w:rsid w:val="0072220D"/>
    <w:rsid w:val="007224B3"/>
    <w:rsid w:val="00722BCB"/>
    <w:rsid w:val="00723338"/>
    <w:rsid w:val="00723508"/>
    <w:rsid w:val="00723995"/>
    <w:rsid w:val="00725CE7"/>
    <w:rsid w:val="00726970"/>
    <w:rsid w:val="00726C0D"/>
    <w:rsid w:val="00726E98"/>
    <w:rsid w:val="00727869"/>
    <w:rsid w:val="00730BC1"/>
    <w:rsid w:val="007310E7"/>
    <w:rsid w:val="00731812"/>
    <w:rsid w:val="00731977"/>
    <w:rsid w:val="00731B6D"/>
    <w:rsid w:val="00731F5E"/>
    <w:rsid w:val="0073286C"/>
    <w:rsid w:val="007328CC"/>
    <w:rsid w:val="0073376D"/>
    <w:rsid w:val="007347E9"/>
    <w:rsid w:val="00734B02"/>
    <w:rsid w:val="00735070"/>
    <w:rsid w:val="007352D0"/>
    <w:rsid w:val="00735AD3"/>
    <w:rsid w:val="00736211"/>
    <w:rsid w:val="0073655E"/>
    <w:rsid w:val="00736D24"/>
    <w:rsid w:val="00737187"/>
    <w:rsid w:val="0073797D"/>
    <w:rsid w:val="00737B65"/>
    <w:rsid w:val="0074007B"/>
    <w:rsid w:val="007401E8"/>
    <w:rsid w:val="00741019"/>
    <w:rsid w:val="00741582"/>
    <w:rsid w:val="00741BB2"/>
    <w:rsid w:val="00742222"/>
    <w:rsid w:val="00742A5B"/>
    <w:rsid w:val="00742ED0"/>
    <w:rsid w:val="007432BB"/>
    <w:rsid w:val="00743731"/>
    <w:rsid w:val="007437B9"/>
    <w:rsid w:val="00743EA9"/>
    <w:rsid w:val="00744183"/>
    <w:rsid w:val="00744A85"/>
    <w:rsid w:val="0074529C"/>
    <w:rsid w:val="007458D7"/>
    <w:rsid w:val="00745B5B"/>
    <w:rsid w:val="00745DDA"/>
    <w:rsid w:val="007462A3"/>
    <w:rsid w:val="00746D1E"/>
    <w:rsid w:val="00746EA0"/>
    <w:rsid w:val="0074798A"/>
    <w:rsid w:val="00747E87"/>
    <w:rsid w:val="00747ECC"/>
    <w:rsid w:val="00750BF8"/>
    <w:rsid w:val="00750F3B"/>
    <w:rsid w:val="00751377"/>
    <w:rsid w:val="007515BC"/>
    <w:rsid w:val="007517E6"/>
    <w:rsid w:val="00751EC7"/>
    <w:rsid w:val="00752495"/>
    <w:rsid w:val="007526DF"/>
    <w:rsid w:val="00753328"/>
    <w:rsid w:val="00753433"/>
    <w:rsid w:val="00753ED5"/>
    <w:rsid w:val="007540F7"/>
    <w:rsid w:val="00754137"/>
    <w:rsid w:val="0075420F"/>
    <w:rsid w:val="0075436C"/>
    <w:rsid w:val="00754738"/>
    <w:rsid w:val="00754A20"/>
    <w:rsid w:val="00754E11"/>
    <w:rsid w:val="00755F2F"/>
    <w:rsid w:val="00756097"/>
    <w:rsid w:val="0075652A"/>
    <w:rsid w:val="00756659"/>
    <w:rsid w:val="00756E01"/>
    <w:rsid w:val="00757377"/>
    <w:rsid w:val="00760C40"/>
    <w:rsid w:val="00760FEB"/>
    <w:rsid w:val="007617BB"/>
    <w:rsid w:val="00762103"/>
    <w:rsid w:val="00762A78"/>
    <w:rsid w:val="00762E4F"/>
    <w:rsid w:val="007633D2"/>
    <w:rsid w:val="0076424F"/>
    <w:rsid w:val="00764897"/>
    <w:rsid w:val="00764BE1"/>
    <w:rsid w:val="00764F3A"/>
    <w:rsid w:val="0076555A"/>
    <w:rsid w:val="00765A50"/>
    <w:rsid w:val="00765CC1"/>
    <w:rsid w:val="007669BA"/>
    <w:rsid w:val="00766C5E"/>
    <w:rsid w:val="00766D02"/>
    <w:rsid w:val="00766D69"/>
    <w:rsid w:val="007670F4"/>
    <w:rsid w:val="00767694"/>
    <w:rsid w:val="00767972"/>
    <w:rsid w:val="00767D0B"/>
    <w:rsid w:val="0077004E"/>
    <w:rsid w:val="00770505"/>
    <w:rsid w:val="007709A6"/>
    <w:rsid w:val="007712EA"/>
    <w:rsid w:val="00771484"/>
    <w:rsid w:val="007716A4"/>
    <w:rsid w:val="00771C7D"/>
    <w:rsid w:val="00771CC2"/>
    <w:rsid w:val="00771EFC"/>
    <w:rsid w:val="007720C6"/>
    <w:rsid w:val="007726E4"/>
    <w:rsid w:val="00773ACD"/>
    <w:rsid w:val="00773CF5"/>
    <w:rsid w:val="007744B2"/>
    <w:rsid w:val="007758FD"/>
    <w:rsid w:val="00776608"/>
    <w:rsid w:val="007767F8"/>
    <w:rsid w:val="007768C5"/>
    <w:rsid w:val="007772B2"/>
    <w:rsid w:val="007773BD"/>
    <w:rsid w:val="0077781B"/>
    <w:rsid w:val="00777A39"/>
    <w:rsid w:val="00777B72"/>
    <w:rsid w:val="00777EEE"/>
    <w:rsid w:val="007802F6"/>
    <w:rsid w:val="00780D15"/>
    <w:rsid w:val="00780D1C"/>
    <w:rsid w:val="007811C0"/>
    <w:rsid w:val="00781708"/>
    <w:rsid w:val="00781999"/>
    <w:rsid w:val="007819CF"/>
    <w:rsid w:val="00782499"/>
    <w:rsid w:val="00782526"/>
    <w:rsid w:val="007827D1"/>
    <w:rsid w:val="00782941"/>
    <w:rsid w:val="00783657"/>
    <w:rsid w:val="00783719"/>
    <w:rsid w:val="00783B18"/>
    <w:rsid w:val="00783D47"/>
    <w:rsid w:val="00784C32"/>
    <w:rsid w:val="00784DCA"/>
    <w:rsid w:val="00786840"/>
    <w:rsid w:val="00786DA1"/>
    <w:rsid w:val="00786DFD"/>
    <w:rsid w:val="0078702B"/>
    <w:rsid w:val="00787202"/>
    <w:rsid w:val="00787A10"/>
    <w:rsid w:val="00787F51"/>
    <w:rsid w:val="007901D6"/>
    <w:rsid w:val="007907B8"/>
    <w:rsid w:val="00790959"/>
    <w:rsid w:val="00790FDD"/>
    <w:rsid w:val="00791304"/>
    <w:rsid w:val="00791677"/>
    <w:rsid w:val="00791A76"/>
    <w:rsid w:val="00791E1E"/>
    <w:rsid w:val="00791E8E"/>
    <w:rsid w:val="007931A9"/>
    <w:rsid w:val="00794129"/>
    <w:rsid w:val="00794427"/>
    <w:rsid w:val="0079492E"/>
    <w:rsid w:val="00794958"/>
    <w:rsid w:val="00794AA3"/>
    <w:rsid w:val="00794AA4"/>
    <w:rsid w:val="00794E52"/>
    <w:rsid w:val="00794E6C"/>
    <w:rsid w:val="007952A7"/>
    <w:rsid w:val="0079550C"/>
    <w:rsid w:val="00795911"/>
    <w:rsid w:val="00796982"/>
    <w:rsid w:val="00797856"/>
    <w:rsid w:val="00797A80"/>
    <w:rsid w:val="00797B98"/>
    <w:rsid w:val="007A02C7"/>
    <w:rsid w:val="007A19E3"/>
    <w:rsid w:val="007A1AB0"/>
    <w:rsid w:val="007A2C70"/>
    <w:rsid w:val="007A2DC7"/>
    <w:rsid w:val="007A353B"/>
    <w:rsid w:val="007A375D"/>
    <w:rsid w:val="007A4275"/>
    <w:rsid w:val="007A454C"/>
    <w:rsid w:val="007A49BA"/>
    <w:rsid w:val="007A4FCF"/>
    <w:rsid w:val="007A5826"/>
    <w:rsid w:val="007A5A26"/>
    <w:rsid w:val="007A5ADE"/>
    <w:rsid w:val="007A5C13"/>
    <w:rsid w:val="007A62AA"/>
    <w:rsid w:val="007A657A"/>
    <w:rsid w:val="007A6797"/>
    <w:rsid w:val="007A6C20"/>
    <w:rsid w:val="007A762D"/>
    <w:rsid w:val="007B06E8"/>
    <w:rsid w:val="007B0E30"/>
    <w:rsid w:val="007B1DE5"/>
    <w:rsid w:val="007B249F"/>
    <w:rsid w:val="007B25BD"/>
    <w:rsid w:val="007B2811"/>
    <w:rsid w:val="007B2F2A"/>
    <w:rsid w:val="007B3007"/>
    <w:rsid w:val="007B371D"/>
    <w:rsid w:val="007B3883"/>
    <w:rsid w:val="007B3D8B"/>
    <w:rsid w:val="007B4330"/>
    <w:rsid w:val="007B4844"/>
    <w:rsid w:val="007B49A0"/>
    <w:rsid w:val="007B4B8A"/>
    <w:rsid w:val="007B53C8"/>
    <w:rsid w:val="007B57A1"/>
    <w:rsid w:val="007B5C58"/>
    <w:rsid w:val="007B5D7E"/>
    <w:rsid w:val="007B6F39"/>
    <w:rsid w:val="007B7C97"/>
    <w:rsid w:val="007C00FC"/>
    <w:rsid w:val="007C0311"/>
    <w:rsid w:val="007C05AD"/>
    <w:rsid w:val="007C14C3"/>
    <w:rsid w:val="007C17B1"/>
    <w:rsid w:val="007C1816"/>
    <w:rsid w:val="007C211A"/>
    <w:rsid w:val="007C273F"/>
    <w:rsid w:val="007C36E5"/>
    <w:rsid w:val="007C43BB"/>
    <w:rsid w:val="007C5782"/>
    <w:rsid w:val="007C5CEC"/>
    <w:rsid w:val="007C65BC"/>
    <w:rsid w:val="007C667B"/>
    <w:rsid w:val="007C6ED9"/>
    <w:rsid w:val="007C7054"/>
    <w:rsid w:val="007C7774"/>
    <w:rsid w:val="007D0B01"/>
    <w:rsid w:val="007D0D9F"/>
    <w:rsid w:val="007D1D13"/>
    <w:rsid w:val="007D21D4"/>
    <w:rsid w:val="007D2490"/>
    <w:rsid w:val="007D25E8"/>
    <w:rsid w:val="007D2B6A"/>
    <w:rsid w:val="007D2D83"/>
    <w:rsid w:val="007D32D3"/>
    <w:rsid w:val="007D36F2"/>
    <w:rsid w:val="007D38A3"/>
    <w:rsid w:val="007D3B6C"/>
    <w:rsid w:val="007D4D58"/>
    <w:rsid w:val="007D57DC"/>
    <w:rsid w:val="007D666A"/>
    <w:rsid w:val="007D6FB6"/>
    <w:rsid w:val="007D7125"/>
    <w:rsid w:val="007D79A1"/>
    <w:rsid w:val="007D7AC5"/>
    <w:rsid w:val="007D7E44"/>
    <w:rsid w:val="007E00A1"/>
    <w:rsid w:val="007E0696"/>
    <w:rsid w:val="007E0C9B"/>
    <w:rsid w:val="007E0D59"/>
    <w:rsid w:val="007E167D"/>
    <w:rsid w:val="007E1745"/>
    <w:rsid w:val="007E2626"/>
    <w:rsid w:val="007E26DE"/>
    <w:rsid w:val="007E2F00"/>
    <w:rsid w:val="007E2F2D"/>
    <w:rsid w:val="007E37E6"/>
    <w:rsid w:val="007E3A3A"/>
    <w:rsid w:val="007E3E4E"/>
    <w:rsid w:val="007E4C6C"/>
    <w:rsid w:val="007E552B"/>
    <w:rsid w:val="007E595F"/>
    <w:rsid w:val="007E61D8"/>
    <w:rsid w:val="007E6902"/>
    <w:rsid w:val="007E6969"/>
    <w:rsid w:val="007E6B82"/>
    <w:rsid w:val="007E6D47"/>
    <w:rsid w:val="007E71C7"/>
    <w:rsid w:val="007E73FB"/>
    <w:rsid w:val="007E7A12"/>
    <w:rsid w:val="007F0096"/>
    <w:rsid w:val="007F016D"/>
    <w:rsid w:val="007F06B7"/>
    <w:rsid w:val="007F0DDE"/>
    <w:rsid w:val="007F0FE7"/>
    <w:rsid w:val="007F1C40"/>
    <w:rsid w:val="007F2105"/>
    <w:rsid w:val="007F274C"/>
    <w:rsid w:val="007F2899"/>
    <w:rsid w:val="007F2BB3"/>
    <w:rsid w:val="007F31D4"/>
    <w:rsid w:val="007F34BD"/>
    <w:rsid w:val="007F34D1"/>
    <w:rsid w:val="007F35FA"/>
    <w:rsid w:val="007F3724"/>
    <w:rsid w:val="007F3759"/>
    <w:rsid w:val="007F3A0C"/>
    <w:rsid w:val="007F3CF2"/>
    <w:rsid w:val="007F3EE2"/>
    <w:rsid w:val="007F4330"/>
    <w:rsid w:val="007F45A7"/>
    <w:rsid w:val="007F4C1B"/>
    <w:rsid w:val="007F518E"/>
    <w:rsid w:val="007F523F"/>
    <w:rsid w:val="007F5471"/>
    <w:rsid w:val="007F59F8"/>
    <w:rsid w:val="007F5BA7"/>
    <w:rsid w:val="007F5FB2"/>
    <w:rsid w:val="007F62A9"/>
    <w:rsid w:val="007F7A3C"/>
    <w:rsid w:val="007F7B32"/>
    <w:rsid w:val="008004AC"/>
    <w:rsid w:val="00800D57"/>
    <w:rsid w:val="008022F1"/>
    <w:rsid w:val="0080288A"/>
    <w:rsid w:val="00802C20"/>
    <w:rsid w:val="00802E2A"/>
    <w:rsid w:val="00802E2B"/>
    <w:rsid w:val="00803264"/>
    <w:rsid w:val="00803569"/>
    <w:rsid w:val="008036EC"/>
    <w:rsid w:val="008039DA"/>
    <w:rsid w:val="00803BBA"/>
    <w:rsid w:val="00803D57"/>
    <w:rsid w:val="00803EAC"/>
    <w:rsid w:val="008041CD"/>
    <w:rsid w:val="00804241"/>
    <w:rsid w:val="008049CE"/>
    <w:rsid w:val="00804B0B"/>
    <w:rsid w:val="00804B58"/>
    <w:rsid w:val="00804DC6"/>
    <w:rsid w:val="0080512B"/>
    <w:rsid w:val="00807058"/>
    <w:rsid w:val="00807122"/>
    <w:rsid w:val="0080739F"/>
    <w:rsid w:val="0080758E"/>
    <w:rsid w:val="0081025E"/>
    <w:rsid w:val="00810788"/>
    <w:rsid w:val="00811276"/>
    <w:rsid w:val="00811638"/>
    <w:rsid w:val="0081182F"/>
    <w:rsid w:val="00811CF4"/>
    <w:rsid w:val="008121D7"/>
    <w:rsid w:val="00812462"/>
    <w:rsid w:val="008124E6"/>
    <w:rsid w:val="00812706"/>
    <w:rsid w:val="00812729"/>
    <w:rsid w:val="00812783"/>
    <w:rsid w:val="00812FAF"/>
    <w:rsid w:val="00813360"/>
    <w:rsid w:val="00813620"/>
    <w:rsid w:val="008139E4"/>
    <w:rsid w:val="00813DDC"/>
    <w:rsid w:val="00814914"/>
    <w:rsid w:val="008154A7"/>
    <w:rsid w:val="00816460"/>
    <w:rsid w:val="008166C3"/>
    <w:rsid w:val="00816711"/>
    <w:rsid w:val="00816B8C"/>
    <w:rsid w:val="00816D0D"/>
    <w:rsid w:val="00816EF8"/>
    <w:rsid w:val="00816F3A"/>
    <w:rsid w:val="008171ED"/>
    <w:rsid w:val="008175A1"/>
    <w:rsid w:val="008177DB"/>
    <w:rsid w:val="00817F4E"/>
    <w:rsid w:val="00820A94"/>
    <w:rsid w:val="00820F97"/>
    <w:rsid w:val="0082171D"/>
    <w:rsid w:val="00822227"/>
    <w:rsid w:val="00822F8C"/>
    <w:rsid w:val="00823377"/>
    <w:rsid w:val="008236E4"/>
    <w:rsid w:val="00823B52"/>
    <w:rsid w:val="00823B90"/>
    <w:rsid w:val="00823CE7"/>
    <w:rsid w:val="00825050"/>
    <w:rsid w:val="0082529B"/>
    <w:rsid w:val="008252A1"/>
    <w:rsid w:val="00825514"/>
    <w:rsid w:val="008256EF"/>
    <w:rsid w:val="00827019"/>
    <w:rsid w:val="00827BB3"/>
    <w:rsid w:val="00830D1F"/>
    <w:rsid w:val="00830E44"/>
    <w:rsid w:val="00830E53"/>
    <w:rsid w:val="008319EF"/>
    <w:rsid w:val="00831ACA"/>
    <w:rsid w:val="00831AD5"/>
    <w:rsid w:val="00831BAA"/>
    <w:rsid w:val="00831E32"/>
    <w:rsid w:val="0083287E"/>
    <w:rsid w:val="00832DD8"/>
    <w:rsid w:val="008331CE"/>
    <w:rsid w:val="00834A9C"/>
    <w:rsid w:val="00834C7B"/>
    <w:rsid w:val="00834F24"/>
    <w:rsid w:val="008354BE"/>
    <w:rsid w:val="00836367"/>
    <w:rsid w:val="0083651E"/>
    <w:rsid w:val="008365D1"/>
    <w:rsid w:val="00836685"/>
    <w:rsid w:val="0083679E"/>
    <w:rsid w:val="00836B55"/>
    <w:rsid w:val="008372FE"/>
    <w:rsid w:val="008374B4"/>
    <w:rsid w:val="008375CF"/>
    <w:rsid w:val="00837C69"/>
    <w:rsid w:val="00837F9B"/>
    <w:rsid w:val="0084028F"/>
    <w:rsid w:val="008413AA"/>
    <w:rsid w:val="00841EAE"/>
    <w:rsid w:val="00842D30"/>
    <w:rsid w:val="00842DC6"/>
    <w:rsid w:val="008430C7"/>
    <w:rsid w:val="008436DB"/>
    <w:rsid w:val="008439DF"/>
    <w:rsid w:val="00843D20"/>
    <w:rsid w:val="00844454"/>
    <w:rsid w:val="00844C42"/>
    <w:rsid w:val="00845161"/>
    <w:rsid w:val="0084549E"/>
    <w:rsid w:val="008454E9"/>
    <w:rsid w:val="0084696C"/>
    <w:rsid w:val="008469B6"/>
    <w:rsid w:val="00847192"/>
    <w:rsid w:val="0084731D"/>
    <w:rsid w:val="008477B7"/>
    <w:rsid w:val="00847BB3"/>
    <w:rsid w:val="00850142"/>
    <w:rsid w:val="0085031D"/>
    <w:rsid w:val="0085052A"/>
    <w:rsid w:val="00850B86"/>
    <w:rsid w:val="008511D0"/>
    <w:rsid w:val="008513CC"/>
    <w:rsid w:val="0085152C"/>
    <w:rsid w:val="008517BB"/>
    <w:rsid w:val="00851912"/>
    <w:rsid w:val="00851B3C"/>
    <w:rsid w:val="0085272E"/>
    <w:rsid w:val="00853AC7"/>
    <w:rsid w:val="00853CEA"/>
    <w:rsid w:val="00854A7C"/>
    <w:rsid w:val="00854D4D"/>
    <w:rsid w:val="00854DDB"/>
    <w:rsid w:val="00854E80"/>
    <w:rsid w:val="00855D62"/>
    <w:rsid w:val="00855D91"/>
    <w:rsid w:val="008566F2"/>
    <w:rsid w:val="00856BF9"/>
    <w:rsid w:val="00856F8E"/>
    <w:rsid w:val="008571E0"/>
    <w:rsid w:val="00857420"/>
    <w:rsid w:val="0085773A"/>
    <w:rsid w:val="008603F1"/>
    <w:rsid w:val="00860B6C"/>
    <w:rsid w:val="00860CCE"/>
    <w:rsid w:val="00860EEB"/>
    <w:rsid w:val="00861027"/>
    <w:rsid w:val="00861383"/>
    <w:rsid w:val="008618B3"/>
    <w:rsid w:val="00861ED6"/>
    <w:rsid w:val="008624FF"/>
    <w:rsid w:val="00862540"/>
    <w:rsid w:val="00862551"/>
    <w:rsid w:val="00862844"/>
    <w:rsid w:val="0086294E"/>
    <w:rsid w:val="00862FF0"/>
    <w:rsid w:val="00863138"/>
    <w:rsid w:val="00863459"/>
    <w:rsid w:val="008637E1"/>
    <w:rsid w:val="00864495"/>
    <w:rsid w:val="00865105"/>
    <w:rsid w:val="00867246"/>
    <w:rsid w:val="00867609"/>
    <w:rsid w:val="00867E68"/>
    <w:rsid w:val="008701D5"/>
    <w:rsid w:val="0087026E"/>
    <w:rsid w:val="0087038D"/>
    <w:rsid w:val="0087078D"/>
    <w:rsid w:val="00872CE5"/>
    <w:rsid w:val="008733F2"/>
    <w:rsid w:val="0087340F"/>
    <w:rsid w:val="0087352A"/>
    <w:rsid w:val="00873D37"/>
    <w:rsid w:val="008740E2"/>
    <w:rsid w:val="00874759"/>
    <w:rsid w:val="0087514E"/>
    <w:rsid w:val="00875D58"/>
    <w:rsid w:val="0087600D"/>
    <w:rsid w:val="0087626F"/>
    <w:rsid w:val="00876879"/>
    <w:rsid w:val="00876BFE"/>
    <w:rsid w:val="0088068F"/>
    <w:rsid w:val="0088101B"/>
    <w:rsid w:val="00881469"/>
    <w:rsid w:val="00881EE6"/>
    <w:rsid w:val="00882881"/>
    <w:rsid w:val="00882CC5"/>
    <w:rsid w:val="0088302D"/>
    <w:rsid w:val="0088315E"/>
    <w:rsid w:val="00883FF1"/>
    <w:rsid w:val="008841C7"/>
    <w:rsid w:val="00884C48"/>
    <w:rsid w:val="00885271"/>
    <w:rsid w:val="00885C28"/>
    <w:rsid w:val="00885F6B"/>
    <w:rsid w:val="00885F89"/>
    <w:rsid w:val="00886041"/>
    <w:rsid w:val="00886762"/>
    <w:rsid w:val="00886908"/>
    <w:rsid w:val="00886ECD"/>
    <w:rsid w:val="008870A8"/>
    <w:rsid w:val="00887605"/>
    <w:rsid w:val="00887803"/>
    <w:rsid w:val="008909DC"/>
    <w:rsid w:val="00890EBD"/>
    <w:rsid w:val="00891481"/>
    <w:rsid w:val="00891D3D"/>
    <w:rsid w:val="00892146"/>
    <w:rsid w:val="008921F1"/>
    <w:rsid w:val="00892620"/>
    <w:rsid w:val="0089264A"/>
    <w:rsid w:val="00892919"/>
    <w:rsid w:val="00892F39"/>
    <w:rsid w:val="00893A34"/>
    <w:rsid w:val="00893C7C"/>
    <w:rsid w:val="00893F1F"/>
    <w:rsid w:val="0089432A"/>
    <w:rsid w:val="0089438A"/>
    <w:rsid w:val="0089459D"/>
    <w:rsid w:val="00894EFE"/>
    <w:rsid w:val="00895172"/>
    <w:rsid w:val="00895850"/>
    <w:rsid w:val="008959C0"/>
    <w:rsid w:val="00895B0C"/>
    <w:rsid w:val="00895C01"/>
    <w:rsid w:val="0089670E"/>
    <w:rsid w:val="00896776"/>
    <w:rsid w:val="00896D20"/>
    <w:rsid w:val="0089750E"/>
    <w:rsid w:val="0089769F"/>
    <w:rsid w:val="00897964"/>
    <w:rsid w:val="00897B0C"/>
    <w:rsid w:val="00897CA0"/>
    <w:rsid w:val="008A02A8"/>
    <w:rsid w:val="008A02DF"/>
    <w:rsid w:val="008A0A3A"/>
    <w:rsid w:val="008A1655"/>
    <w:rsid w:val="008A1B93"/>
    <w:rsid w:val="008A2727"/>
    <w:rsid w:val="008A2903"/>
    <w:rsid w:val="008A2B1A"/>
    <w:rsid w:val="008A2E33"/>
    <w:rsid w:val="008A2EA8"/>
    <w:rsid w:val="008A2ECB"/>
    <w:rsid w:val="008A32C7"/>
    <w:rsid w:val="008A3449"/>
    <w:rsid w:val="008A3BB3"/>
    <w:rsid w:val="008A4172"/>
    <w:rsid w:val="008A41D1"/>
    <w:rsid w:val="008A44E0"/>
    <w:rsid w:val="008A5E26"/>
    <w:rsid w:val="008A68BF"/>
    <w:rsid w:val="008A6B32"/>
    <w:rsid w:val="008A70BA"/>
    <w:rsid w:val="008A710B"/>
    <w:rsid w:val="008A71BE"/>
    <w:rsid w:val="008A7481"/>
    <w:rsid w:val="008A76E0"/>
    <w:rsid w:val="008A77EB"/>
    <w:rsid w:val="008A7DEB"/>
    <w:rsid w:val="008B049B"/>
    <w:rsid w:val="008B0573"/>
    <w:rsid w:val="008B072E"/>
    <w:rsid w:val="008B1046"/>
    <w:rsid w:val="008B1219"/>
    <w:rsid w:val="008B1233"/>
    <w:rsid w:val="008B17CF"/>
    <w:rsid w:val="008B1CDB"/>
    <w:rsid w:val="008B2462"/>
    <w:rsid w:val="008B2600"/>
    <w:rsid w:val="008B2773"/>
    <w:rsid w:val="008B324D"/>
    <w:rsid w:val="008B34A6"/>
    <w:rsid w:val="008B39F2"/>
    <w:rsid w:val="008B4175"/>
    <w:rsid w:val="008B4D55"/>
    <w:rsid w:val="008B514D"/>
    <w:rsid w:val="008B52AA"/>
    <w:rsid w:val="008B5B21"/>
    <w:rsid w:val="008B5BDE"/>
    <w:rsid w:val="008B6297"/>
    <w:rsid w:val="008B66CD"/>
    <w:rsid w:val="008B6786"/>
    <w:rsid w:val="008B67D2"/>
    <w:rsid w:val="008B6851"/>
    <w:rsid w:val="008B68DD"/>
    <w:rsid w:val="008B6DF5"/>
    <w:rsid w:val="008B7866"/>
    <w:rsid w:val="008B7B5B"/>
    <w:rsid w:val="008B7CC7"/>
    <w:rsid w:val="008C0150"/>
    <w:rsid w:val="008C0780"/>
    <w:rsid w:val="008C0784"/>
    <w:rsid w:val="008C0BAD"/>
    <w:rsid w:val="008C1497"/>
    <w:rsid w:val="008C1654"/>
    <w:rsid w:val="008C1866"/>
    <w:rsid w:val="008C18B3"/>
    <w:rsid w:val="008C19AB"/>
    <w:rsid w:val="008C1D1F"/>
    <w:rsid w:val="008C2765"/>
    <w:rsid w:val="008C2779"/>
    <w:rsid w:val="008C2E66"/>
    <w:rsid w:val="008C3582"/>
    <w:rsid w:val="008C3CF3"/>
    <w:rsid w:val="008C3D4B"/>
    <w:rsid w:val="008C4059"/>
    <w:rsid w:val="008C43C9"/>
    <w:rsid w:val="008C4B7F"/>
    <w:rsid w:val="008C4B95"/>
    <w:rsid w:val="008C5061"/>
    <w:rsid w:val="008C603D"/>
    <w:rsid w:val="008C6B01"/>
    <w:rsid w:val="008C6F88"/>
    <w:rsid w:val="008C75E2"/>
    <w:rsid w:val="008C7CAA"/>
    <w:rsid w:val="008D04DC"/>
    <w:rsid w:val="008D262E"/>
    <w:rsid w:val="008D321E"/>
    <w:rsid w:val="008D4069"/>
    <w:rsid w:val="008D4A1D"/>
    <w:rsid w:val="008D4C51"/>
    <w:rsid w:val="008D4C74"/>
    <w:rsid w:val="008D537B"/>
    <w:rsid w:val="008D578D"/>
    <w:rsid w:val="008D5A7B"/>
    <w:rsid w:val="008D6350"/>
    <w:rsid w:val="008D68DE"/>
    <w:rsid w:val="008D7483"/>
    <w:rsid w:val="008D7770"/>
    <w:rsid w:val="008D7A24"/>
    <w:rsid w:val="008D7EE4"/>
    <w:rsid w:val="008D7F28"/>
    <w:rsid w:val="008E0299"/>
    <w:rsid w:val="008E034C"/>
    <w:rsid w:val="008E071E"/>
    <w:rsid w:val="008E0799"/>
    <w:rsid w:val="008E1303"/>
    <w:rsid w:val="008E1349"/>
    <w:rsid w:val="008E144C"/>
    <w:rsid w:val="008E1524"/>
    <w:rsid w:val="008E1751"/>
    <w:rsid w:val="008E19E1"/>
    <w:rsid w:val="008E2B95"/>
    <w:rsid w:val="008E3594"/>
    <w:rsid w:val="008E35D5"/>
    <w:rsid w:val="008E3E18"/>
    <w:rsid w:val="008E4170"/>
    <w:rsid w:val="008E499D"/>
    <w:rsid w:val="008E4E7F"/>
    <w:rsid w:val="008E5AA9"/>
    <w:rsid w:val="008E5F03"/>
    <w:rsid w:val="008E6270"/>
    <w:rsid w:val="008E6629"/>
    <w:rsid w:val="008E6906"/>
    <w:rsid w:val="008E71A0"/>
    <w:rsid w:val="008E7466"/>
    <w:rsid w:val="008E784E"/>
    <w:rsid w:val="008F05F0"/>
    <w:rsid w:val="008F09CE"/>
    <w:rsid w:val="008F1257"/>
    <w:rsid w:val="008F1B22"/>
    <w:rsid w:val="008F1FFF"/>
    <w:rsid w:val="008F2069"/>
    <w:rsid w:val="008F2870"/>
    <w:rsid w:val="008F2F4D"/>
    <w:rsid w:val="008F33EC"/>
    <w:rsid w:val="008F348B"/>
    <w:rsid w:val="008F45DD"/>
    <w:rsid w:val="008F4669"/>
    <w:rsid w:val="008F4791"/>
    <w:rsid w:val="008F4BD6"/>
    <w:rsid w:val="008F4C06"/>
    <w:rsid w:val="008F524F"/>
    <w:rsid w:val="008F546B"/>
    <w:rsid w:val="008F54E9"/>
    <w:rsid w:val="008F5B56"/>
    <w:rsid w:val="008F5E17"/>
    <w:rsid w:val="008F6784"/>
    <w:rsid w:val="008F6D58"/>
    <w:rsid w:val="008F72DC"/>
    <w:rsid w:val="008F7700"/>
    <w:rsid w:val="008F7EA6"/>
    <w:rsid w:val="0090057E"/>
    <w:rsid w:val="0090094C"/>
    <w:rsid w:val="009009FB"/>
    <w:rsid w:val="00900B1A"/>
    <w:rsid w:val="00900CFF"/>
    <w:rsid w:val="00901027"/>
    <w:rsid w:val="00901669"/>
    <w:rsid w:val="009016E1"/>
    <w:rsid w:val="00901BD4"/>
    <w:rsid w:val="00901EF0"/>
    <w:rsid w:val="009022CC"/>
    <w:rsid w:val="0090231F"/>
    <w:rsid w:val="009024F4"/>
    <w:rsid w:val="0090255C"/>
    <w:rsid w:val="00903A46"/>
    <w:rsid w:val="009043F4"/>
    <w:rsid w:val="009049DE"/>
    <w:rsid w:val="00905151"/>
    <w:rsid w:val="0090583A"/>
    <w:rsid w:val="009058EA"/>
    <w:rsid w:val="00905E5C"/>
    <w:rsid w:val="009066A4"/>
    <w:rsid w:val="00906E9E"/>
    <w:rsid w:val="009073E7"/>
    <w:rsid w:val="00907A68"/>
    <w:rsid w:val="00907E93"/>
    <w:rsid w:val="00907EF1"/>
    <w:rsid w:val="00907F8F"/>
    <w:rsid w:val="009101F5"/>
    <w:rsid w:val="00910414"/>
    <w:rsid w:val="009112D6"/>
    <w:rsid w:val="00911555"/>
    <w:rsid w:val="00911779"/>
    <w:rsid w:val="009122C3"/>
    <w:rsid w:val="00912583"/>
    <w:rsid w:val="009127F0"/>
    <w:rsid w:val="009130EF"/>
    <w:rsid w:val="0091459C"/>
    <w:rsid w:val="009149F7"/>
    <w:rsid w:val="0091537A"/>
    <w:rsid w:val="00915AAC"/>
    <w:rsid w:val="00915ACF"/>
    <w:rsid w:val="00915B47"/>
    <w:rsid w:val="00915CE1"/>
    <w:rsid w:val="00915E7C"/>
    <w:rsid w:val="0091613C"/>
    <w:rsid w:val="00916695"/>
    <w:rsid w:val="009175C6"/>
    <w:rsid w:val="00917703"/>
    <w:rsid w:val="00917950"/>
    <w:rsid w:val="00917CC9"/>
    <w:rsid w:val="00917E73"/>
    <w:rsid w:val="00920313"/>
    <w:rsid w:val="009203E1"/>
    <w:rsid w:val="009203E2"/>
    <w:rsid w:val="00920DD2"/>
    <w:rsid w:val="00921291"/>
    <w:rsid w:val="00921613"/>
    <w:rsid w:val="00921782"/>
    <w:rsid w:val="00921AD9"/>
    <w:rsid w:val="00921EF8"/>
    <w:rsid w:val="009220D0"/>
    <w:rsid w:val="00922DFB"/>
    <w:rsid w:val="009232A7"/>
    <w:rsid w:val="009236FB"/>
    <w:rsid w:val="009247E4"/>
    <w:rsid w:val="00924A2B"/>
    <w:rsid w:val="00924B0E"/>
    <w:rsid w:val="00924C2E"/>
    <w:rsid w:val="00924CC8"/>
    <w:rsid w:val="00924D7A"/>
    <w:rsid w:val="00924DAD"/>
    <w:rsid w:val="00924EF9"/>
    <w:rsid w:val="00925050"/>
    <w:rsid w:val="00925AA8"/>
    <w:rsid w:val="009262A8"/>
    <w:rsid w:val="00926604"/>
    <w:rsid w:val="00926B17"/>
    <w:rsid w:val="009276AD"/>
    <w:rsid w:val="00927848"/>
    <w:rsid w:val="009279E9"/>
    <w:rsid w:val="00927EF7"/>
    <w:rsid w:val="00930509"/>
    <w:rsid w:val="00930699"/>
    <w:rsid w:val="00931139"/>
    <w:rsid w:val="00931186"/>
    <w:rsid w:val="009314C6"/>
    <w:rsid w:val="0093183D"/>
    <w:rsid w:val="00931C60"/>
    <w:rsid w:val="00931CD4"/>
    <w:rsid w:val="00932223"/>
    <w:rsid w:val="00932330"/>
    <w:rsid w:val="00932421"/>
    <w:rsid w:val="00932F67"/>
    <w:rsid w:val="0093326E"/>
    <w:rsid w:val="00934173"/>
    <w:rsid w:val="009343E3"/>
    <w:rsid w:val="00935050"/>
    <w:rsid w:val="0093559C"/>
    <w:rsid w:val="00935ACA"/>
    <w:rsid w:val="00935E1D"/>
    <w:rsid w:val="009366A0"/>
    <w:rsid w:val="00936D6D"/>
    <w:rsid w:val="00936FB7"/>
    <w:rsid w:val="00937065"/>
    <w:rsid w:val="0093742F"/>
    <w:rsid w:val="00937BB0"/>
    <w:rsid w:val="00937F46"/>
    <w:rsid w:val="009407EE"/>
    <w:rsid w:val="00940D09"/>
    <w:rsid w:val="00940D80"/>
    <w:rsid w:val="00941A39"/>
    <w:rsid w:val="00941AEC"/>
    <w:rsid w:val="00942F22"/>
    <w:rsid w:val="00942F5E"/>
    <w:rsid w:val="0094300C"/>
    <w:rsid w:val="009430D4"/>
    <w:rsid w:val="009437B0"/>
    <w:rsid w:val="00943AB2"/>
    <w:rsid w:val="00943B26"/>
    <w:rsid w:val="00943E00"/>
    <w:rsid w:val="009446E9"/>
    <w:rsid w:val="009453E4"/>
    <w:rsid w:val="00945E1E"/>
    <w:rsid w:val="00945F95"/>
    <w:rsid w:val="0094604A"/>
    <w:rsid w:val="00946A80"/>
    <w:rsid w:val="00946E58"/>
    <w:rsid w:val="00946F78"/>
    <w:rsid w:val="00947A83"/>
    <w:rsid w:val="00950357"/>
    <w:rsid w:val="0095045C"/>
    <w:rsid w:val="009504F7"/>
    <w:rsid w:val="00950A2D"/>
    <w:rsid w:val="009510CF"/>
    <w:rsid w:val="009511E4"/>
    <w:rsid w:val="009513E5"/>
    <w:rsid w:val="009514CD"/>
    <w:rsid w:val="009525DB"/>
    <w:rsid w:val="00953E15"/>
    <w:rsid w:val="0095405F"/>
    <w:rsid w:val="009542CB"/>
    <w:rsid w:val="009542D3"/>
    <w:rsid w:val="00954622"/>
    <w:rsid w:val="009549B2"/>
    <w:rsid w:val="00954B23"/>
    <w:rsid w:val="00954F85"/>
    <w:rsid w:val="00955441"/>
    <w:rsid w:val="00955448"/>
    <w:rsid w:val="009562D3"/>
    <w:rsid w:val="00956D7A"/>
    <w:rsid w:val="00956DA6"/>
    <w:rsid w:val="009575E3"/>
    <w:rsid w:val="00957F52"/>
    <w:rsid w:val="00960387"/>
    <w:rsid w:val="00960460"/>
    <w:rsid w:val="009604ED"/>
    <w:rsid w:val="0096083D"/>
    <w:rsid w:val="00960EA3"/>
    <w:rsid w:val="00961C3D"/>
    <w:rsid w:val="00961DC0"/>
    <w:rsid w:val="00961E3D"/>
    <w:rsid w:val="009622F7"/>
    <w:rsid w:val="00962484"/>
    <w:rsid w:val="0096278C"/>
    <w:rsid w:val="009636C7"/>
    <w:rsid w:val="009638C2"/>
    <w:rsid w:val="00963B1D"/>
    <w:rsid w:val="009643C4"/>
    <w:rsid w:val="009646AA"/>
    <w:rsid w:val="009647B2"/>
    <w:rsid w:val="009648B1"/>
    <w:rsid w:val="00965315"/>
    <w:rsid w:val="00965D75"/>
    <w:rsid w:val="00965EFB"/>
    <w:rsid w:val="009668AD"/>
    <w:rsid w:val="00966CD2"/>
    <w:rsid w:val="00967BAA"/>
    <w:rsid w:val="00967CA9"/>
    <w:rsid w:val="0097066E"/>
    <w:rsid w:val="009706AA"/>
    <w:rsid w:val="00970931"/>
    <w:rsid w:val="00970B73"/>
    <w:rsid w:val="00970DF3"/>
    <w:rsid w:val="00971372"/>
    <w:rsid w:val="00971FC8"/>
    <w:rsid w:val="00972223"/>
    <w:rsid w:val="009729ED"/>
    <w:rsid w:val="00972E46"/>
    <w:rsid w:val="00973848"/>
    <w:rsid w:val="009744F1"/>
    <w:rsid w:val="00974610"/>
    <w:rsid w:val="00974F4B"/>
    <w:rsid w:val="009753AF"/>
    <w:rsid w:val="00975603"/>
    <w:rsid w:val="00975870"/>
    <w:rsid w:val="00975CDC"/>
    <w:rsid w:val="00976440"/>
    <w:rsid w:val="009766EC"/>
    <w:rsid w:val="009768F2"/>
    <w:rsid w:val="00976EEE"/>
    <w:rsid w:val="00976FB3"/>
    <w:rsid w:val="00980A4C"/>
    <w:rsid w:val="009812B1"/>
    <w:rsid w:val="009814A5"/>
    <w:rsid w:val="00981A56"/>
    <w:rsid w:val="00983242"/>
    <w:rsid w:val="009832D5"/>
    <w:rsid w:val="00984467"/>
    <w:rsid w:val="00984D72"/>
    <w:rsid w:val="0098563C"/>
    <w:rsid w:val="0098603E"/>
    <w:rsid w:val="00986DBF"/>
    <w:rsid w:val="00986F53"/>
    <w:rsid w:val="009878E5"/>
    <w:rsid w:val="009879DB"/>
    <w:rsid w:val="00990152"/>
    <w:rsid w:val="00990426"/>
    <w:rsid w:val="0099053A"/>
    <w:rsid w:val="009911C3"/>
    <w:rsid w:val="009914CE"/>
    <w:rsid w:val="009917A4"/>
    <w:rsid w:val="0099186F"/>
    <w:rsid w:val="009918E8"/>
    <w:rsid w:val="00991ACC"/>
    <w:rsid w:val="00992345"/>
    <w:rsid w:val="009930AD"/>
    <w:rsid w:val="009936E6"/>
    <w:rsid w:val="009939FF"/>
    <w:rsid w:val="00993A32"/>
    <w:rsid w:val="00993B41"/>
    <w:rsid w:val="00993F1C"/>
    <w:rsid w:val="00993F59"/>
    <w:rsid w:val="0099400C"/>
    <w:rsid w:val="00994169"/>
    <w:rsid w:val="00994333"/>
    <w:rsid w:val="009951C7"/>
    <w:rsid w:val="0099604A"/>
    <w:rsid w:val="009962FE"/>
    <w:rsid w:val="009963FF"/>
    <w:rsid w:val="0099657C"/>
    <w:rsid w:val="00996D0A"/>
    <w:rsid w:val="009974F8"/>
    <w:rsid w:val="00997B88"/>
    <w:rsid w:val="00997C4C"/>
    <w:rsid w:val="00997CC2"/>
    <w:rsid w:val="00997E46"/>
    <w:rsid w:val="009A030C"/>
    <w:rsid w:val="009A0426"/>
    <w:rsid w:val="009A0DF0"/>
    <w:rsid w:val="009A0E5A"/>
    <w:rsid w:val="009A1743"/>
    <w:rsid w:val="009A19B3"/>
    <w:rsid w:val="009A1C89"/>
    <w:rsid w:val="009A211F"/>
    <w:rsid w:val="009A29C7"/>
    <w:rsid w:val="009A2C24"/>
    <w:rsid w:val="009A2DE5"/>
    <w:rsid w:val="009A4A31"/>
    <w:rsid w:val="009A4AC6"/>
    <w:rsid w:val="009A4BF1"/>
    <w:rsid w:val="009A4D14"/>
    <w:rsid w:val="009A53A7"/>
    <w:rsid w:val="009A5AD3"/>
    <w:rsid w:val="009A6068"/>
    <w:rsid w:val="009A78DE"/>
    <w:rsid w:val="009B100E"/>
    <w:rsid w:val="009B1209"/>
    <w:rsid w:val="009B12E2"/>
    <w:rsid w:val="009B13D7"/>
    <w:rsid w:val="009B17FB"/>
    <w:rsid w:val="009B22D6"/>
    <w:rsid w:val="009B2353"/>
    <w:rsid w:val="009B2CF0"/>
    <w:rsid w:val="009B2D65"/>
    <w:rsid w:val="009B33B0"/>
    <w:rsid w:val="009B3437"/>
    <w:rsid w:val="009B3556"/>
    <w:rsid w:val="009B3F33"/>
    <w:rsid w:val="009B3F90"/>
    <w:rsid w:val="009B3F9B"/>
    <w:rsid w:val="009B4464"/>
    <w:rsid w:val="009B4E1C"/>
    <w:rsid w:val="009B5615"/>
    <w:rsid w:val="009B5ED9"/>
    <w:rsid w:val="009B6073"/>
    <w:rsid w:val="009B687E"/>
    <w:rsid w:val="009B73B2"/>
    <w:rsid w:val="009B78C5"/>
    <w:rsid w:val="009B7ADE"/>
    <w:rsid w:val="009C00F1"/>
    <w:rsid w:val="009C0616"/>
    <w:rsid w:val="009C0710"/>
    <w:rsid w:val="009C0AE7"/>
    <w:rsid w:val="009C0E63"/>
    <w:rsid w:val="009C1162"/>
    <w:rsid w:val="009C1501"/>
    <w:rsid w:val="009C218D"/>
    <w:rsid w:val="009C21FC"/>
    <w:rsid w:val="009C3010"/>
    <w:rsid w:val="009C39BB"/>
    <w:rsid w:val="009C3AC1"/>
    <w:rsid w:val="009C422B"/>
    <w:rsid w:val="009C463B"/>
    <w:rsid w:val="009C4DC5"/>
    <w:rsid w:val="009C5262"/>
    <w:rsid w:val="009C56C3"/>
    <w:rsid w:val="009C584B"/>
    <w:rsid w:val="009C592A"/>
    <w:rsid w:val="009C5F21"/>
    <w:rsid w:val="009C63D3"/>
    <w:rsid w:val="009C6955"/>
    <w:rsid w:val="009C6B0A"/>
    <w:rsid w:val="009C6B65"/>
    <w:rsid w:val="009C6D1B"/>
    <w:rsid w:val="009C70E5"/>
    <w:rsid w:val="009C7624"/>
    <w:rsid w:val="009C7B20"/>
    <w:rsid w:val="009D075E"/>
    <w:rsid w:val="009D08D6"/>
    <w:rsid w:val="009D0AFB"/>
    <w:rsid w:val="009D1B50"/>
    <w:rsid w:val="009D1D29"/>
    <w:rsid w:val="009D1D70"/>
    <w:rsid w:val="009D21C8"/>
    <w:rsid w:val="009D2802"/>
    <w:rsid w:val="009D29EC"/>
    <w:rsid w:val="009D2A88"/>
    <w:rsid w:val="009D3177"/>
    <w:rsid w:val="009D332E"/>
    <w:rsid w:val="009D3C86"/>
    <w:rsid w:val="009D4196"/>
    <w:rsid w:val="009D45A7"/>
    <w:rsid w:val="009D49B7"/>
    <w:rsid w:val="009D4BDE"/>
    <w:rsid w:val="009D56C4"/>
    <w:rsid w:val="009D5865"/>
    <w:rsid w:val="009D5E4C"/>
    <w:rsid w:val="009D682C"/>
    <w:rsid w:val="009D6D25"/>
    <w:rsid w:val="009D7B41"/>
    <w:rsid w:val="009E01F6"/>
    <w:rsid w:val="009E03FB"/>
    <w:rsid w:val="009E0ABD"/>
    <w:rsid w:val="009E0BC1"/>
    <w:rsid w:val="009E0FE2"/>
    <w:rsid w:val="009E17B9"/>
    <w:rsid w:val="009E19E9"/>
    <w:rsid w:val="009E1B5D"/>
    <w:rsid w:val="009E2498"/>
    <w:rsid w:val="009E32B3"/>
    <w:rsid w:val="009E32FE"/>
    <w:rsid w:val="009E34B8"/>
    <w:rsid w:val="009E391D"/>
    <w:rsid w:val="009E392B"/>
    <w:rsid w:val="009E3C14"/>
    <w:rsid w:val="009E43E5"/>
    <w:rsid w:val="009E4F56"/>
    <w:rsid w:val="009E5239"/>
    <w:rsid w:val="009E52C4"/>
    <w:rsid w:val="009E54D2"/>
    <w:rsid w:val="009E56D2"/>
    <w:rsid w:val="009E5D08"/>
    <w:rsid w:val="009E6025"/>
    <w:rsid w:val="009E6E6D"/>
    <w:rsid w:val="009F0387"/>
    <w:rsid w:val="009F096B"/>
    <w:rsid w:val="009F09E6"/>
    <w:rsid w:val="009F153A"/>
    <w:rsid w:val="009F1B3C"/>
    <w:rsid w:val="009F1D5A"/>
    <w:rsid w:val="009F1DD2"/>
    <w:rsid w:val="009F24D8"/>
    <w:rsid w:val="009F2CA1"/>
    <w:rsid w:val="009F324A"/>
    <w:rsid w:val="009F328C"/>
    <w:rsid w:val="009F39B2"/>
    <w:rsid w:val="009F537A"/>
    <w:rsid w:val="009F56C9"/>
    <w:rsid w:val="009F5AD5"/>
    <w:rsid w:val="009F630C"/>
    <w:rsid w:val="009F709A"/>
    <w:rsid w:val="009F7F75"/>
    <w:rsid w:val="00A0081F"/>
    <w:rsid w:val="00A00A57"/>
    <w:rsid w:val="00A01416"/>
    <w:rsid w:val="00A0169C"/>
    <w:rsid w:val="00A01750"/>
    <w:rsid w:val="00A017B7"/>
    <w:rsid w:val="00A01F51"/>
    <w:rsid w:val="00A025B5"/>
    <w:rsid w:val="00A02604"/>
    <w:rsid w:val="00A02974"/>
    <w:rsid w:val="00A030B6"/>
    <w:rsid w:val="00A0358C"/>
    <w:rsid w:val="00A03672"/>
    <w:rsid w:val="00A036EC"/>
    <w:rsid w:val="00A03704"/>
    <w:rsid w:val="00A03B17"/>
    <w:rsid w:val="00A04688"/>
    <w:rsid w:val="00A04BB9"/>
    <w:rsid w:val="00A05553"/>
    <w:rsid w:val="00A05747"/>
    <w:rsid w:val="00A05CA7"/>
    <w:rsid w:val="00A06378"/>
    <w:rsid w:val="00A064DF"/>
    <w:rsid w:val="00A0673D"/>
    <w:rsid w:val="00A067D6"/>
    <w:rsid w:val="00A06A80"/>
    <w:rsid w:val="00A06AC7"/>
    <w:rsid w:val="00A07055"/>
    <w:rsid w:val="00A0715A"/>
    <w:rsid w:val="00A072B2"/>
    <w:rsid w:val="00A07844"/>
    <w:rsid w:val="00A07EAA"/>
    <w:rsid w:val="00A1119A"/>
    <w:rsid w:val="00A11347"/>
    <w:rsid w:val="00A1141E"/>
    <w:rsid w:val="00A11499"/>
    <w:rsid w:val="00A11E98"/>
    <w:rsid w:val="00A12961"/>
    <w:rsid w:val="00A12F92"/>
    <w:rsid w:val="00A136AC"/>
    <w:rsid w:val="00A13885"/>
    <w:rsid w:val="00A139BA"/>
    <w:rsid w:val="00A13AA0"/>
    <w:rsid w:val="00A13C38"/>
    <w:rsid w:val="00A13C59"/>
    <w:rsid w:val="00A144CF"/>
    <w:rsid w:val="00A14CFE"/>
    <w:rsid w:val="00A15EFF"/>
    <w:rsid w:val="00A15F23"/>
    <w:rsid w:val="00A169B4"/>
    <w:rsid w:val="00A16CD8"/>
    <w:rsid w:val="00A178DF"/>
    <w:rsid w:val="00A2057A"/>
    <w:rsid w:val="00A205BE"/>
    <w:rsid w:val="00A207EC"/>
    <w:rsid w:val="00A20C92"/>
    <w:rsid w:val="00A21B7C"/>
    <w:rsid w:val="00A227F2"/>
    <w:rsid w:val="00A22C05"/>
    <w:rsid w:val="00A22DA2"/>
    <w:rsid w:val="00A23DBF"/>
    <w:rsid w:val="00A240B1"/>
    <w:rsid w:val="00A241BD"/>
    <w:rsid w:val="00A244E2"/>
    <w:rsid w:val="00A24BC4"/>
    <w:rsid w:val="00A25241"/>
    <w:rsid w:val="00A25630"/>
    <w:rsid w:val="00A25CA9"/>
    <w:rsid w:val="00A2777E"/>
    <w:rsid w:val="00A27892"/>
    <w:rsid w:val="00A27958"/>
    <w:rsid w:val="00A30381"/>
    <w:rsid w:val="00A30E48"/>
    <w:rsid w:val="00A30E6A"/>
    <w:rsid w:val="00A3103A"/>
    <w:rsid w:val="00A31268"/>
    <w:rsid w:val="00A31592"/>
    <w:rsid w:val="00A316BF"/>
    <w:rsid w:val="00A31E8F"/>
    <w:rsid w:val="00A335B1"/>
    <w:rsid w:val="00A33EF0"/>
    <w:rsid w:val="00A3406E"/>
    <w:rsid w:val="00A352C1"/>
    <w:rsid w:val="00A35400"/>
    <w:rsid w:val="00A35585"/>
    <w:rsid w:val="00A3580A"/>
    <w:rsid w:val="00A37343"/>
    <w:rsid w:val="00A37573"/>
    <w:rsid w:val="00A3790E"/>
    <w:rsid w:val="00A37BA7"/>
    <w:rsid w:val="00A4031F"/>
    <w:rsid w:val="00A408F2"/>
    <w:rsid w:val="00A40C80"/>
    <w:rsid w:val="00A40E1B"/>
    <w:rsid w:val="00A4150B"/>
    <w:rsid w:val="00A418BA"/>
    <w:rsid w:val="00A4192B"/>
    <w:rsid w:val="00A41A07"/>
    <w:rsid w:val="00A41E37"/>
    <w:rsid w:val="00A422D9"/>
    <w:rsid w:val="00A423C3"/>
    <w:rsid w:val="00A427E4"/>
    <w:rsid w:val="00A42842"/>
    <w:rsid w:val="00A42D74"/>
    <w:rsid w:val="00A42EF5"/>
    <w:rsid w:val="00A4356B"/>
    <w:rsid w:val="00A43ADA"/>
    <w:rsid w:val="00A43AF8"/>
    <w:rsid w:val="00A43DCB"/>
    <w:rsid w:val="00A44549"/>
    <w:rsid w:val="00A4494E"/>
    <w:rsid w:val="00A44EB9"/>
    <w:rsid w:val="00A451B9"/>
    <w:rsid w:val="00A4586B"/>
    <w:rsid w:val="00A458F0"/>
    <w:rsid w:val="00A462BF"/>
    <w:rsid w:val="00A4631C"/>
    <w:rsid w:val="00A46858"/>
    <w:rsid w:val="00A46A67"/>
    <w:rsid w:val="00A46D8E"/>
    <w:rsid w:val="00A474F8"/>
    <w:rsid w:val="00A47570"/>
    <w:rsid w:val="00A4775A"/>
    <w:rsid w:val="00A47C5F"/>
    <w:rsid w:val="00A50AD9"/>
    <w:rsid w:val="00A514AE"/>
    <w:rsid w:val="00A51944"/>
    <w:rsid w:val="00A51CC9"/>
    <w:rsid w:val="00A51DD4"/>
    <w:rsid w:val="00A51EF6"/>
    <w:rsid w:val="00A5266B"/>
    <w:rsid w:val="00A52763"/>
    <w:rsid w:val="00A52964"/>
    <w:rsid w:val="00A52D28"/>
    <w:rsid w:val="00A54F8E"/>
    <w:rsid w:val="00A55B77"/>
    <w:rsid w:val="00A55D70"/>
    <w:rsid w:val="00A55E05"/>
    <w:rsid w:val="00A562AF"/>
    <w:rsid w:val="00A5649E"/>
    <w:rsid w:val="00A5681D"/>
    <w:rsid w:val="00A56C75"/>
    <w:rsid w:val="00A571AE"/>
    <w:rsid w:val="00A57521"/>
    <w:rsid w:val="00A579F8"/>
    <w:rsid w:val="00A60168"/>
    <w:rsid w:val="00A617D9"/>
    <w:rsid w:val="00A61F25"/>
    <w:rsid w:val="00A62219"/>
    <w:rsid w:val="00A62DED"/>
    <w:rsid w:val="00A62E4A"/>
    <w:rsid w:val="00A62F85"/>
    <w:rsid w:val="00A63271"/>
    <w:rsid w:val="00A6337A"/>
    <w:rsid w:val="00A635E3"/>
    <w:rsid w:val="00A6382F"/>
    <w:rsid w:val="00A63963"/>
    <w:rsid w:val="00A63AF5"/>
    <w:rsid w:val="00A63F35"/>
    <w:rsid w:val="00A64659"/>
    <w:rsid w:val="00A6465E"/>
    <w:rsid w:val="00A64C08"/>
    <w:rsid w:val="00A64D7F"/>
    <w:rsid w:val="00A64F62"/>
    <w:rsid w:val="00A65B8B"/>
    <w:rsid w:val="00A65EA6"/>
    <w:rsid w:val="00A6670A"/>
    <w:rsid w:val="00A6684A"/>
    <w:rsid w:val="00A7039C"/>
    <w:rsid w:val="00A70F4D"/>
    <w:rsid w:val="00A71532"/>
    <w:rsid w:val="00A71819"/>
    <w:rsid w:val="00A71E2B"/>
    <w:rsid w:val="00A72295"/>
    <w:rsid w:val="00A72D91"/>
    <w:rsid w:val="00A72E34"/>
    <w:rsid w:val="00A73D4B"/>
    <w:rsid w:val="00A73EA9"/>
    <w:rsid w:val="00A74697"/>
    <w:rsid w:val="00A7477C"/>
    <w:rsid w:val="00A75656"/>
    <w:rsid w:val="00A75B4A"/>
    <w:rsid w:val="00A75EA7"/>
    <w:rsid w:val="00A761FA"/>
    <w:rsid w:val="00A7620F"/>
    <w:rsid w:val="00A76445"/>
    <w:rsid w:val="00A771C0"/>
    <w:rsid w:val="00A779C5"/>
    <w:rsid w:val="00A77C65"/>
    <w:rsid w:val="00A8027B"/>
    <w:rsid w:val="00A8028D"/>
    <w:rsid w:val="00A8067D"/>
    <w:rsid w:val="00A80CA4"/>
    <w:rsid w:val="00A81192"/>
    <w:rsid w:val="00A81297"/>
    <w:rsid w:val="00A813F8"/>
    <w:rsid w:val="00A81518"/>
    <w:rsid w:val="00A819E6"/>
    <w:rsid w:val="00A825A0"/>
    <w:rsid w:val="00A82895"/>
    <w:rsid w:val="00A82A72"/>
    <w:rsid w:val="00A8307A"/>
    <w:rsid w:val="00A83CCA"/>
    <w:rsid w:val="00A83D7E"/>
    <w:rsid w:val="00A8402F"/>
    <w:rsid w:val="00A84D8D"/>
    <w:rsid w:val="00A85A08"/>
    <w:rsid w:val="00A863C5"/>
    <w:rsid w:val="00A86724"/>
    <w:rsid w:val="00A869CC"/>
    <w:rsid w:val="00A86CE5"/>
    <w:rsid w:val="00A87420"/>
    <w:rsid w:val="00A907AD"/>
    <w:rsid w:val="00A90A60"/>
    <w:rsid w:val="00A90AEF"/>
    <w:rsid w:val="00A90B93"/>
    <w:rsid w:val="00A90C3B"/>
    <w:rsid w:val="00A91041"/>
    <w:rsid w:val="00A91D25"/>
    <w:rsid w:val="00A92332"/>
    <w:rsid w:val="00A92E1D"/>
    <w:rsid w:val="00A93FD7"/>
    <w:rsid w:val="00A94266"/>
    <w:rsid w:val="00A94F1D"/>
    <w:rsid w:val="00A95810"/>
    <w:rsid w:val="00A95B86"/>
    <w:rsid w:val="00A95DA6"/>
    <w:rsid w:val="00A9748B"/>
    <w:rsid w:val="00A97CF3"/>
    <w:rsid w:val="00A97DC2"/>
    <w:rsid w:val="00A97E4A"/>
    <w:rsid w:val="00A97E77"/>
    <w:rsid w:val="00AA02BF"/>
    <w:rsid w:val="00AA0305"/>
    <w:rsid w:val="00AA0654"/>
    <w:rsid w:val="00AA0992"/>
    <w:rsid w:val="00AA1718"/>
    <w:rsid w:val="00AA1E55"/>
    <w:rsid w:val="00AA2517"/>
    <w:rsid w:val="00AA2A15"/>
    <w:rsid w:val="00AA2A96"/>
    <w:rsid w:val="00AA34A4"/>
    <w:rsid w:val="00AA3779"/>
    <w:rsid w:val="00AA3CC8"/>
    <w:rsid w:val="00AA42A7"/>
    <w:rsid w:val="00AA45F1"/>
    <w:rsid w:val="00AA518A"/>
    <w:rsid w:val="00AA5C2B"/>
    <w:rsid w:val="00AA6607"/>
    <w:rsid w:val="00AA7068"/>
    <w:rsid w:val="00AA714E"/>
    <w:rsid w:val="00AA74BC"/>
    <w:rsid w:val="00AA74E1"/>
    <w:rsid w:val="00AA7A13"/>
    <w:rsid w:val="00AB03B3"/>
    <w:rsid w:val="00AB05A8"/>
    <w:rsid w:val="00AB1109"/>
    <w:rsid w:val="00AB12AF"/>
    <w:rsid w:val="00AB1441"/>
    <w:rsid w:val="00AB1C60"/>
    <w:rsid w:val="00AB1C8B"/>
    <w:rsid w:val="00AB1D56"/>
    <w:rsid w:val="00AB1ED3"/>
    <w:rsid w:val="00AB2455"/>
    <w:rsid w:val="00AB269A"/>
    <w:rsid w:val="00AB2808"/>
    <w:rsid w:val="00AB2B1B"/>
    <w:rsid w:val="00AB4A40"/>
    <w:rsid w:val="00AB4B80"/>
    <w:rsid w:val="00AB5A0D"/>
    <w:rsid w:val="00AB66EB"/>
    <w:rsid w:val="00AB6B2A"/>
    <w:rsid w:val="00AB749D"/>
    <w:rsid w:val="00AB7678"/>
    <w:rsid w:val="00AB7B4C"/>
    <w:rsid w:val="00AC014E"/>
    <w:rsid w:val="00AC0858"/>
    <w:rsid w:val="00AC0A81"/>
    <w:rsid w:val="00AC13FF"/>
    <w:rsid w:val="00AC1476"/>
    <w:rsid w:val="00AC1CBD"/>
    <w:rsid w:val="00AC238D"/>
    <w:rsid w:val="00AC2A26"/>
    <w:rsid w:val="00AC3428"/>
    <w:rsid w:val="00AC3F66"/>
    <w:rsid w:val="00AC4592"/>
    <w:rsid w:val="00AC4B7F"/>
    <w:rsid w:val="00AC4D46"/>
    <w:rsid w:val="00AC4F51"/>
    <w:rsid w:val="00AC547F"/>
    <w:rsid w:val="00AC620A"/>
    <w:rsid w:val="00AC7238"/>
    <w:rsid w:val="00AC7BEB"/>
    <w:rsid w:val="00AC7C05"/>
    <w:rsid w:val="00AD047F"/>
    <w:rsid w:val="00AD0630"/>
    <w:rsid w:val="00AD0CF6"/>
    <w:rsid w:val="00AD1382"/>
    <w:rsid w:val="00AD162D"/>
    <w:rsid w:val="00AD16E4"/>
    <w:rsid w:val="00AD17F3"/>
    <w:rsid w:val="00AD1F08"/>
    <w:rsid w:val="00AD1F36"/>
    <w:rsid w:val="00AD2189"/>
    <w:rsid w:val="00AD21B1"/>
    <w:rsid w:val="00AD249C"/>
    <w:rsid w:val="00AD2C02"/>
    <w:rsid w:val="00AD2C05"/>
    <w:rsid w:val="00AD31A9"/>
    <w:rsid w:val="00AD3920"/>
    <w:rsid w:val="00AD4782"/>
    <w:rsid w:val="00AD5287"/>
    <w:rsid w:val="00AD550F"/>
    <w:rsid w:val="00AD5EDE"/>
    <w:rsid w:val="00AD637B"/>
    <w:rsid w:val="00AD6CF5"/>
    <w:rsid w:val="00AD7FE1"/>
    <w:rsid w:val="00AE06D1"/>
    <w:rsid w:val="00AE08D0"/>
    <w:rsid w:val="00AE097A"/>
    <w:rsid w:val="00AE09A8"/>
    <w:rsid w:val="00AE143F"/>
    <w:rsid w:val="00AE1681"/>
    <w:rsid w:val="00AE19C0"/>
    <w:rsid w:val="00AE1B5A"/>
    <w:rsid w:val="00AE1F44"/>
    <w:rsid w:val="00AE2151"/>
    <w:rsid w:val="00AE221F"/>
    <w:rsid w:val="00AE2330"/>
    <w:rsid w:val="00AE249D"/>
    <w:rsid w:val="00AE31B0"/>
    <w:rsid w:val="00AE3A54"/>
    <w:rsid w:val="00AE3E75"/>
    <w:rsid w:val="00AE3EB7"/>
    <w:rsid w:val="00AE3EC0"/>
    <w:rsid w:val="00AE530F"/>
    <w:rsid w:val="00AE5363"/>
    <w:rsid w:val="00AE64E5"/>
    <w:rsid w:val="00AE6595"/>
    <w:rsid w:val="00AE6C3D"/>
    <w:rsid w:val="00AE6C84"/>
    <w:rsid w:val="00AE6F0F"/>
    <w:rsid w:val="00AE6FC4"/>
    <w:rsid w:val="00AE712A"/>
    <w:rsid w:val="00AE7889"/>
    <w:rsid w:val="00AE7B74"/>
    <w:rsid w:val="00AF0381"/>
    <w:rsid w:val="00AF0479"/>
    <w:rsid w:val="00AF0633"/>
    <w:rsid w:val="00AF1066"/>
    <w:rsid w:val="00AF1187"/>
    <w:rsid w:val="00AF26A2"/>
    <w:rsid w:val="00AF3DFB"/>
    <w:rsid w:val="00AF411C"/>
    <w:rsid w:val="00AF41BC"/>
    <w:rsid w:val="00AF486A"/>
    <w:rsid w:val="00AF4AFA"/>
    <w:rsid w:val="00AF4B64"/>
    <w:rsid w:val="00AF4FB8"/>
    <w:rsid w:val="00AF5B49"/>
    <w:rsid w:val="00AF5E48"/>
    <w:rsid w:val="00AF64A1"/>
    <w:rsid w:val="00AF665E"/>
    <w:rsid w:val="00AF69F0"/>
    <w:rsid w:val="00AF7111"/>
    <w:rsid w:val="00AF72F7"/>
    <w:rsid w:val="00AF7EC6"/>
    <w:rsid w:val="00B002DE"/>
    <w:rsid w:val="00B0065D"/>
    <w:rsid w:val="00B00771"/>
    <w:rsid w:val="00B00A3C"/>
    <w:rsid w:val="00B01B51"/>
    <w:rsid w:val="00B026A6"/>
    <w:rsid w:val="00B02B47"/>
    <w:rsid w:val="00B02B58"/>
    <w:rsid w:val="00B032C5"/>
    <w:rsid w:val="00B03333"/>
    <w:rsid w:val="00B033B6"/>
    <w:rsid w:val="00B03542"/>
    <w:rsid w:val="00B037D9"/>
    <w:rsid w:val="00B03A5E"/>
    <w:rsid w:val="00B04046"/>
    <w:rsid w:val="00B0406A"/>
    <w:rsid w:val="00B04249"/>
    <w:rsid w:val="00B053F1"/>
    <w:rsid w:val="00B055EC"/>
    <w:rsid w:val="00B0578D"/>
    <w:rsid w:val="00B06841"/>
    <w:rsid w:val="00B06B03"/>
    <w:rsid w:val="00B06BA5"/>
    <w:rsid w:val="00B06F61"/>
    <w:rsid w:val="00B07774"/>
    <w:rsid w:val="00B07A74"/>
    <w:rsid w:val="00B07A92"/>
    <w:rsid w:val="00B07DB6"/>
    <w:rsid w:val="00B07DDE"/>
    <w:rsid w:val="00B07EB0"/>
    <w:rsid w:val="00B10185"/>
    <w:rsid w:val="00B10B9D"/>
    <w:rsid w:val="00B11277"/>
    <w:rsid w:val="00B113E5"/>
    <w:rsid w:val="00B113EE"/>
    <w:rsid w:val="00B1162D"/>
    <w:rsid w:val="00B1178D"/>
    <w:rsid w:val="00B12CE9"/>
    <w:rsid w:val="00B1386A"/>
    <w:rsid w:val="00B13916"/>
    <w:rsid w:val="00B139C7"/>
    <w:rsid w:val="00B13D33"/>
    <w:rsid w:val="00B14804"/>
    <w:rsid w:val="00B14C06"/>
    <w:rsid w:val="00B14E7F"/>
    <w:rsid w:val="00B153F0"/>
    <w:rsid w:val="00B15438"/>
    <w:rsid w:val="00B15445"/>
    <w:rsid w:val="00B1559F"/>
    <w:rsid w:val="00B15BF3"/>
    <w:rsid w:val="00B16205"/>
    <w:rsid w:val="00B162A3"/>
    <w:rsid w:val="00B16CCF"/>
    <w:rsid w:val="00B16D39"/>
    <w:rsid w:val="00B170C2"/>
    <w:rsid w:val="00B171C8"/>
    <w:rsid w:val="00B1726A"/>
    <w:rsid w:val="00B176C5"/>
    <w:rsid w:val="00B17CEF"/>
    <w:rsid w:val="00B17ECC"/>
    <w:rsid w:val="00B20CAF"/>
    <w:rsid w:val="00B20E8E"/>
    <w:rsid w:val="00B2315C"/>
    <w:rsid w:val="00B23398"/>
    <w:rsid w:val="00B2350E"/>
    <w:rsid w:val="00B23E39"/>
    <w:rsid w:val="00B2430A"/>
    <w:rsid w:val="00B245B0"/>
    <w:rsid w:val="00B24EE2"/>
    <w:rsid w:val="00B25075"/>
    <w:rsid w:val="00B25669"/>
    <w:rsid w:val="00B25673"/>
    <w:rsid w:val="00B2671F"/>
    <w:rsid w:val="00B269C9"/>
    <w:rsid w:val="00B26C93"/>
    <w:rsid w:val="00B26E56"/>
    <w:rsid w:val="00B2704D"/>
    <w:rsid w:val="00B27C32"/>
    <w:rsid w:val="00B27D72"/>
    <w:rsid w:val="00B30E58"/>
    <w:rsid w:val="00B3119E"/>
    <w:rsid w:val="00B31879"/>
    <w:rsid w:val="00B31B84"/>
    <w:rsid w:val="00B3291F"/>
    <w:rsid w:val="00B3298F"/>
    <w:rsid w:val="00B329C9"/>
    <w:rsid w:val="00B32C5C"/>
    <w:rsid w:val="00B3311C"/>
    <w:rsid w:val="00B33125"/>
    <w:rsid w:val="00B33BE9"/>
    <w:rsid w:val="00B33D39"/>
    <w:rsid w:val="00B33E35"/>
    <w:rsid w:val="00B34050"/>
    <w:rsid w:val="00B34998"/>
    <w:rsid w:val="00B34A3B"/>
    <w:rsid w:val="00B34E50"/>
    <w:rsid w:val="00B355C5"/>
    <w:rsid w:val="00B36070"/>
    <w:rsid w:val="00B363F7"/>
    <w:rsid w:val="00B3673D"/>
    <w:rsid w:val="00B37357"/>
    <w:rsid w:val="00B377E3"/>
    <w:rsid w:val="00B37939"/>
    <w:rsid w:val="00B37B63"/>
    <w:rsid w:val="00B37EDA"/>
    <w:rsid w:val="00B40841"/>
    <w:rsid w:val="00B40B39"/>
    <w:rsid w:val="00B40EAB"/>
    <w:rsid w:val="00B419EA"/>
    <w:rsid w:val="00B41BF8"/>
    <w:rsid w:val="00B42422"/>
    <w:rsid w:val="00B4246C"/>
    <w:rsid w:val="00B4259D"/>
    <w:rsid w:val="00B426BF"/>
    <w:rsid w:val="00B4272A"/>
    <w:rsid w:val="00B43042"/>
    <w:rsid w:val="00B430ED"/>
    <w:rsid w:val="00B44C6C"/>
    <w:rsid w:val="00B44CC2"/>
    <w:rsid w:val="00B4590A"/>
    <w:rsid w:val="00B45B48"/>
    <w:rsid w:val="00B46D79"/>
    <w:rsid w:val="00B4757F"/>
    <w:rsid w:val="00B5003E"/>
    <w:rsid w:val="00B50407"/>
    <w:rsid w:val="00B507B5"/>
    <w:rsid w:val="00B50B74"/>
    <w:rsid w:val="00B5187A"/>
    <w:rsid w:val="00B519BE"/>
    <w:rsid w:val="00B51A7E"/>
    <w:rsid w:val="00B51A94"/>
    <w:rsid w:val="00B51AE6"/>
    <w:rsid w:val="00B51C63"/>
    <w:rsid w:val="00B52A98"/>
    <w:rsid w:val="00B52E33"/>
    <w:rsid w:val="00B5316A"/>
    <w:rsid w:val="00B53AE0"/>
    <w:rsid w:val="00B5415F"/>
    <w:rsid w:val="00B543A4"/>
    <w:rsid w:val="00B5480D"/>
    <w:rsid w:val="00B55CD1"/>
    <w:rsid w:val="00B561B3"/>
    <w:rsid w:val="00B56723"/>
    <w:rsid w:val="00B576DE"/>
    <w:rsid w:val="00B57771"/>
    <w:rsid w:val="00B5780C"/>
    <w:rsid w:val="00B57E36"/>
    <w:rsid w:val="00B605F9"/>
    <w:rsid w:val="00B60729"/>
    <w:rsid w:val="00B60CB1"/>
    <w:rsid w:val="00B611E8"/>
    <w:rsid w:val="00B611F7"/>
    <w:rsid w:val="00B61C67"/>
    <w:rsid w:val="00B622D3"/>
    <w:rsid w:val="00B627A0"/>
    <w:rsid w:val="00B62BD7"/>
    <w:rsid w:val="00B62CA4"/>
    <w:rsid w:val="00B63110"/>
    <w:rsid w:val="00B6314D"/>
    <w:rsid w:val="00B631EA"/>
    <w:rsid w:val="00B634D8"/>
    <w:rsid w:val="00B64BD8"/>
    <w:rsid w:val="00B65453"/>
    <w:rsid w:val="00B658E7"/>
    <w:rsid w:val="00B65AEF"/>
    <w:rsid w:val="00B65EFB"/>
    <w:rsid w:val="00B661C6"/>
    <w:rsid w:val="00B66898"/>
    <w:rsid w:val="00B66FE8"/>
    <w:rsid w:val="00B67123"/>
    <w:rsid w:val="00B67C47"/>
    <w:rsid w:val="00B67C69"/>
    <w:rsid w:val="00B70E36"/>
    <w:rsid w:val="00B70EFF"/>
    <w:rsid w:val="00B71357"/>
    <w:rsid w:val="00B71654"/>
    <w:rsid w:val="00B72120"/>
    <w:rsid w:val="00B726D9"/>
    <w:rsid w:val="00B727C2"/>
    <w:rsid w:val="00B73090"/>
    <w:rsid w:val="00B738C7"/>
    <w:rsid w:val="00B74056"/>
    <w:rsid w:val="00B7406C"/>
    <w:rsid w:val="00B741FC"/>
    <w:rsid w:val="00B745D0"/>
    <w:rsid w:val="00B746A2"/>
    <w:rsid w:val="00B747AC"/>
    <w:rsid w:val="00B74EED"/>
    <w:rsid w:val="00B759E4"/>
    <w:rsid w:val="00B765CD"/>
    <w:rsid w:val="00B76BE5"/>
    <w:rsid w:val="00B77124"/>
    <w:rsid w:val="00B776CA"/>
    <w:rsid w:val="00B8023E"/>
    <w:rsid w:val="00B817D3"/>
    <w:rsid w:val="00B82106"/>
    <w:rsid w:val="00B82526"/>
    <w:rsid w:val="00B825B1"/>
    <w:rsid w:val="00B828C0"/>
    <w:rsid w:val="00B82FC0"/>
    <w:rsid w:val="00B83120"/>
    <w:rsid w:val="00B83849"/>
    <w:rsid w:val="00B83BF1"/>
    <w:rsid w:val="00B83DE6"/>
    <w:rsid w:val="00B85B22"/>
    <w:rsid w:val="00B864BD"/>
    <w:rsid w:val="00B86690"/>
    <w:rsid w:val="00B867E8"/>
    <w:rsid w:val="00B8680B"/>
    <w:rsid w:val="00B86AF7"/>
    <w:rsid w:val="00B87515"/>
    <w:rsid w:val="00B8765C"/>
    <w:rsid w:val="00B87C02"/>
    <w:rsid w:val="00B900EF"/>
    <w:rsid w:val="00B90561"/>
    <w:rsid w:val="00B9057F"/>
    <w:rsid w:val="00B90DCD"/>
    <w:rsid w:val="00B91224"/>
    <w:rsid w:val="00B912FB"/>
    <w:rsid w:val="00B91420"/>
    <w:rsid w:val="00B917F8"/>
    <w:rsid w:val="00B91B4E"/>
    <w:rsid w:val="00B91E97"/>
    <w:rsid w:val="00B92BAA"/>
    <w:rsid w:val="00B92D19"/>
    <w:rsid w:val="00B92DEC"/>
    <w:rsid w:val="00B931EE"/>
    <w:rsid w:val="00B93A88"/>
    <w:rsid w:val="00B93CE6"/>
    <w:rsid w:val="00B941F2"/>
    <w:rsid w:val="00B9525A"/>
    <w:rsid w:val="00B95561"/>
    <w:rsid w:val="00B95EBD"/>
    <w:rsid w:val="00B95FC1"/>
    <w:rsid w:val="00B967CD"/>
    <w:rsid w:val="00BA015D"/>
    <w:rsid w:val="00BA064C"/>
    <w:rsid w:val="00BA0C85"/>
    <w:rsid w:val="00BA189C"/>
    <w:rsid w:val="00BA1B22"/>
    <w:rsid w:val="00BA1B44"/>
    <w:rsid w:val="00BA1DCB"/>
    <w:rsid w:val="00BA2049"/>
    <w:rsid w:val="00BA2063"/>
    <w:rsid w:val="00BA3EAA"/>
    <w:rsid w:val="00BA4091"/>
    <w:rsid w:val="00BA4735"/>
    <w:rsid w:val="00BA4883"/>
    <w:rsid w:val="00BA6225"/>
    <w:rsid w:val="00BA6929"/>
    <w:rsid w:val="00BA6D1F"/>
    <w:rsid w:val="00BA71AA"/>
    <w:rsid w:val="00BA774C"/>
    <w:rsid w:val="00BB0652"/>
    <w:rsid w:val="00BB0718"/>
    <w:rsid w:val="00BB0E61"/>
    <w:rsid w:val="00BB0EBB"/>
    <w:rsid w:val="00BB180C"/>
    <w:rsid w:val="00BB218F"/>
    <w:rsid w:val="00BB2D23"/>
    <w:rsid w:val="00BB2DB8"/>
    <w:rsid w:val="00BB313B"/>
    <w:rsid w:val="00BB374B"/>
    <w:rsid w:val="00BB3A50"/>
    <w:rsid w:val="00BB3A75"/>
    <w:rsid w:val="00BB3EA0"/>
    <w:rsid w:val="00BB4D9B"/>
    <w:rsid w:val="00BB582A"/>
    <w:rsid w:val="00BB647C"/>
    <w:rsid w:val="00BB6A78"/>
    <w:rsid w:val="00BB6AB0"/>
    <w:rsid w:val="00BC0C83"/>
    <w:rsid w:val="00BC10B3"/>
    <w:rsid w:val="00BC1967"/>
    <w:rsid w:val="00BC28D4"/>
    <w:rsid w:val="00BC2A93"/>
    <w:rsid w:val="00BC2D9D"/>
    <w:rsid w:val="00BC33E7"/>
    <w:rsid w:val="00BC4646"/>
    <w:rsid w:val="00BC4A43"/>
    <w:rsid w:val="00BC4D30"/>
    <w:rsid w:val="00BC5ACC"/>
    <w:rsid w:val="00BC5ADB"/>
    <w:rsid w:val="00BC61B1"/>
    <w:rsid w:val="00BC6D48"/>
    <w:rsid w:val="00BC6E4C"/>
    <w:rsid w:val="00BC74B2"/>
    <w:rsid w:val="00BD0081"/>
    <w:rsid w:val="00BD0580"/>
    <w:rsid w:val="00BD090D"/>
    <w:rsid w:val="00BD0BAE"/>
    <w:rsid w:val="00BD1CCF"/>
    <w:rsid w:val="00BD1EEB"/>
    <w:rsid w:val="00BD1F16"/>
    <w:rsid w:val="00BD201F"/>
    <w:rsid w:val="00BD2126"/>
    <w:rsid w:val="00BD2745"/>
    <w:rsid w:val="00BD2834"/>
    <w:rsid w:val="00BD2851"/>
    <w:rsid w:val="00BD2E6B"/>
    <w:rsid w:val="00BD3262"/>
    <w:rsid w:val="00BD3480"/>
    <w:rsid w:val="00BD48B6"/>
    <w:rsid w:val="00BD55D3"/>
    <w:rsid w:val="00BD56B7"/>
    <w:rsid w:val="00BD574E"/>
    <w:rsid w:val="00BD5D53"/>
    <w:rsid w:val="00BD6A20"/>
    <w:rsid w:val="00BD6FA1"/>
    <w:rsid w:val="00BD787F"/>
    <w:rsid w:val="00BE00F2"/>
    <w:rsid w:val="00BE0C6B"/>
    <w:rsid w:val="00BE0D0F"/>
    <w:rsid w:val="00BE0FCD"/>
    <w:rsid w:val="00BE1996"/>
    <w:rsid w:val="00BE209A"/>
    <w:rsid w:val="00BE2293"/>
    <w:rsid w:val="00BE24AF"/>
    <w:rsid w:val="00BE3215"/>
    <w:rsid w:val="00BE35E3"/>
    <w:rsid w:val="00BE37DF"/>
    <w:rsid w:val="00BE37E1"/>
    <w:rsid w:val="00BE40F3"/>
    <w:rsid w:val="00BE4397"/>
    <w:rsid w:val="00BE4B28"/>
    <w:rsid w:val="00BE4C07"/>
    <w:rsid w:val="00BE4ED0"/>
    <w:rsid w:val="00BE57E6"/>
    <w:rsid w:val="00BE57F6"/>
    <w:rsid w:val="00BE5B2C"/>
    <w:rsid w:val="00BE65A1"/>
    <w:rsid w:val="00BE67A2"/>
    <w:rsid w:val="00BE6D67"/>
    <w:rsid w:val="00BE709A"/>
    <w:rsid w:val="00BE7220"/>
    <w:rsid w:val="00BE727B"/>
    <w:rsid w:val="00BE78ED"/>
    <w:rsid w:val="00BF021D"/>
    <w:rsid w:val="00BF065D"/>
    <w:rsid w:val="00BF06E6"/>
    <w:rsid w:val="00BF0CC8"/>
    <w:rsid w:val="00BF0E2D"/>
    <w:rsid w:val="00BF1212"/>
    <w:rsid w:val="00BF2D80"/>
    <w:rsid w:val="00BF2DF2"/>
    <w:rsid w:val="00BF30AB"/>
    <w:rsid w:val="00BF32A0"/>
    <w:rsid w:val="00BF34A5"/>
    <w:rsid w:val="00BF3851"/>
    <w:rsid w:val="00BF3BD9"/>
    <w:rsid w:val="00BF3F9A"/>
    <w:rsid w:val="00BF42A6"/>
    <w:rsid w:val="00BF4836"/>
    <w:rsid w:val="00BF485B"/>
    <w:rsid w:val="00BF488C"/>
    <w:rsid w:val="00BF50ED"/>
    <w:rsid w:val="00BF5144"/>
    <w:rsid w:val="00BF5555"/>
    <w:rsid w:val="00BF5E9D"/>
    <w:rsid w:val="00BF6322"/>
    <w:rsid w:val="00BF786C"/>
    <w:rsid w:val="00BF79E3"/>
    <w:rsid w:val="00BF7FB0"/>
    <w:rsid w:val="00C00747"/>
    <w:rsid w:val="00C00845"/>
    <w:rsid w:val="00C0096B"/>
    <w:rsid w:val="00C0099E"/>
    <w:rsid w:val="00C01116"/>
    <w:rsid w:val="00C013F9"/>
    <w:rsid w:val="00C01560"/>
    <w:rsid w:val="00C02336"/>
    <w:rsid w:val="00C0246B"/>
    <w:rsid w:val="00C027A2"/>
    <w:rsid w:val="00C02AA5"/>
    <w:rsid w:val="00C02FC8"/>
    <w:rsid w:val="00C040ED"/>
    <w:rsid w:val="00C04254"/>
    <w:rsid w:val="00C043A7"/>
    <w:rsid w:val="00C044F1"/>
    <w:rsid w:val="00C045BB"/>
    <w:rsid w:val="00C050D3"/>
    <w:rsid w:val="00C053F6"/>
    <w:rsid w:val="00C0566D"/>
    <w:rsid w:val="00C05A15"/>
    <w:rsid w:val="00C064BB"/>
    <w:rsid w:val="00C06D49"/>
    <w:rsid w:val="00C071B3"/>
    <w:rsid w:val="00C073CC"/>
    <w:rsid w:val="00C07556"/>
    <w:rsid w:val="00C0756D"/>
    <w:rsid w:val="00C0773E"/>
    <w:rsid w:val="00C10374"/>
    <w:rsid w:val="00C10698"/>
    <w:rsid w:val="00C106B5"/>
    <w:rsid w:val="00C112C2"/>
    <w:rsid w:val="00C11344"/>
    <w:rsid w:val="00C11831"/>
    <w:rsid w:val="00C11DE0"/>
    <w:rsid w:val="00C12840"/>
    <w:rsid w:val="00C132D6"/>
    <w:rsid w:val="00C13B21"/>
    <w:rsid w:val="00C13D30"/>
    <w:rsid w:val="00C13DE8"/>
    <w:rsid w:val="00C140F5"/>
    <w:rsid w:val="00C14488"/>
    <w:rsid w:val="00C155A3"/>
    <w:rsid w:val="00C1593D"/>
    <w:rsid w:val="00C15BB3"/>
    <w:rsid w:val="00C15C6B"/>
    <w:rsid w:val="00C1644F"/>
    <w:rsid w:val="00C16720"/>
    <w:rsid w:val="00C16B24"/>
    <w:rsid w:val="00C172E3"/>
    <w:rsid w:val="00C17F8C"/>
    <w:rsid w:val="00C20228"/>
    <w:rsid w:val="00C20685"/>
    <w:rsid w:val="00C20BEA"/>
    <w:rsid w:val="00C215DE"/>
    <w:rsid w:val="00C217D7"/>
    <w:rsid w:val="00C21910"/>
    <w:rsid w:val="00C22372"/>
    <w:rsid w:val="00C22791"/>
    <w:rsid w:val="00C22F1E"/>
    <w:rsid w:val="00C23DB2"/>
    <w:rsid w:val="00C242B4"/>
    <w:rsid w:val="00C244FF"/>
    <w:rsid w:val="00C246AB"/>
    <w:rsid w:val="00C24CA5"/>
    <w:rsid w:val="00C25C82"/>
    <w:rsid w:val="00C26112"/>
    <w:rsid w:val="00C261D8"/>
    <w:rsid w:val="00C2620D"/>
    <w:rsid w:val="00C2671E"/>
    <w:rsid w:val="00C26CE3"/>
    <w:rsid w:val="00C277FF"/>
    <w:rsid w:val="00C27FC3"/>
    <w:rsid w:val="00C3011B"/>
    <w:rsid w:val="00C309C1"/>
    <w:rsid w:val="00C30BC8"/>
    <w:rsid w:val="00C32716"/>
    <w:rsid w:val="00C3276E"/>
    <w:rsid w:val="00C33788"/>
    <w:rsid w:val="00C33D51"/>
    <w:rsid w:val="00C34656"/>
    <w:rsid w:val="00C34F61"/>
    <w:rsid w:val="00C35179"/>
    <w:rsid w:val="00C3524D"/>
    <w:rsid w:val="00C35BF3"/>
    <w:rsid w:val="00C362B4"/>
    <w:rsid w:val="00C362B5"/>
    <w:rsid w:val="00C363C0"/>
    <w:rsid w:val="00C3670D"/>
    <w:rsid w:val="00C4001E"/>
    <w:rsid w:val="00C409AD"/>
    <w:rsid w:val="00C41370"/>
    <w:rsid w:val="00C41E30"/>
    <w:rsid w:val="00C41EED"/>
    <w:rsid w:val="00C42299"/>
    <w:rsid w:val="00C426AE"/>
    <w:rsid w:val="00C42CBD"/>
    <w:rsid w:val="00C43145"/>
    <w:rsid w:val="00C439CF"/>
    <w:rsid w:val="00C43D82"/>
    <w:rsid w:val="00C442B6"/>
    <w:rsid w:val="00C44AC8"/>
    <w:rsid w:val="00C4517C"/>
    <w:rsid w:val="00C47628"/>
    <w:rsid w:val="00C47717"/>
    <w:rsid w:val="00C47A10"/>
    <w:rsid w:val="00C47A28"/>
    <w:rsid w:val="00C47BE9"/>
    <w:rsid w:val="00C5096F"/>
    <w:rsid w:val="00C50BA9"/>
    <w:rsid w:val="00C51899"/>
    <w:rsid w:val="00C52218"/>
    <w:rsid w:val="00C52D02"/>
    <w:rsid w:val="00C5302D"/>
    <w:rsid w:val="00C532F3"/>
    <w:rsid w:val="00C535B2"/>
    <w:rsid w:val="00C53C4E"/>
    <w:rsid w:val="00C5403F"/>
    <w:rsid w:val="00C5408B"/>
    <w:rsid w:val="00C549E0"/>
    <w:rsid w:val="00C54C13"/>
    <w:rsid w:val="00C54D9D"/>
    <w:rsid w:val="00C55834"/>
    <w:rsid w:val="00C55848"/>
    <w:rsid w:val="00C55956"/>
    <w:rsid w:val="00C55CDD"/>
    <w:rsid w:val="00C567CF"/>
    <w:rsid w:val="00C56838"/>
    <w:rsid w:val="00C56AA4"/>
    <w:rsid w:val="00C5787F"/>
    <w:rsid w:val="00C60E71"/>
    <w:rsid w:val="00C61076"/>
    <w:rsid w:val="00C612BB"/>
    <w:rsid w:val="00C618D6"/>
    <w:rsid w:val="00C61A6F"/>
    <w:rsid w:val="00C625DA"/>
    <w:rsid w:val="00C62F4A"/>
    <w:rsid w:val="00C62F6D"/>
    <w:rsid w:val="00C6318D"/>
    <w:rsid w:val="00C63263"/>
    <w:rsid w:val="00C634DB"/>
    <w:rsid w:val="00C63732"/>
    <w:rsid w:val="00C63883"/>
    <w:rsid w:val="00C63925"/>
    <w:rsid w:val="00C64026"/>
    <w:rsid w:val="00C646BE"/>
    <w:rsid w:val="00C6479B"/>
    <w:rsid w:val="00C64D89"/>
    <w:rsid w:val="00C65553"/>
    <w:rsid w:val="00C66506"/>
    <w:rsid w:val="00C668F8"/>
    <w:rsid w:val="00C66D8B"/>
    <w:rsid w:val="00C66E03"/>
    <w:rsid w:val="00C66E74"/>
    <w:rsid w:val="00C6788D"/>
    <w:rsid w:val="00C67B9D"/>
    <w:rsid w:val="00C67FB6"/>
    <w:rsid w:val="00C703D2"/>
    <w:rsid w:val="00C7158D"/>
    <w:rsid w:val="00C719CB"/>
    <w:rsid w:val="00C71EB7"/>
    <w:rsid w:val="00C723FB"/>
    <w:rsid w:val="00C72520"/>
    <w:rsid w:val="00C72EF0"/>
    <w:rsid w:val="00C734E4"/>
    <w:rsid w:val="00C737E6"/>
    <w:rsid w:val="00C74B3A"/>
    <w:rsid w:val="00C74B83"/>
    <w:rsid w:val="00C74CC2"/>
    <w:rsid w:val="00C75087"/>
    <w:rsid w:val="00C752F2"/>
    <w:rsid w:val="00C76214"/>
    <w:rsid w:val="00C76487"/>
    <w:rsid w:val="00C7674C"/>
    <w:rsid w:val="00C76C03"/>
    <w:rsid w:val="00C77322"/>
    <w:rsid w:val="00C7755E"/>
    <w:rsid w:val="00C7766B"/>
    <w:rsid w:val="00C77ACD"/>
    <w:rsid w:val="00C80941"/>
    <w:rsid w:val="00C81194"/>
    <w:rsid w:val="00C81E4F"/>
    <w:rsid w:val="00C8254D"/>
    <w:rsid w:val="00C82E34"/>
    <w:rsid w:val="00C82FC1"/>
    <w:rsid w:val="00C83188"/>
    <w:rsid w:val="00C834F0"/>
    <w:rsid w:val="00C83726"/>
    <w:rsid w:val="00C83D2D"/>
    <w:rsid w:val="00C83EF4"/>
    <w:rsid w:val="00C83FCF"/>
    <w:rsid w:val="00C8416B"/>
    <w:rsid w:val="00C8454D"/>
    <w:rsid w:val="00C84D05"/>
    <w:rsid w:val="00C85536"/>
    <w:rsid w:val="00C8560D"/>
    <w:rsid w:val="00C858C2"/>
    <w:rsid w:val="00C862B2"/>
    <w:rsid w:val="00C8704F"/>
    <w:rsid w:val="00C871AD"/>
    <w:rsid w:val="00C9198B"/>
    <w:rsid w:val="00C920B0"/>
    <w:rsid w:val="00C9210E"/>
    <w:rsid w:val="00C9240D"/>
    <w:rsid w:val="00C9255E"/>
    <w:rsid w:val="00C9280D"/>
    <w:rsid w:val="00C9282F"/>
    <w:rsid w:val="00C92929"/>
    <w:rsid w:val="00C93177"/>
    <w:rsid w:val="00C94079"/>
    <w:rsid w:val="00C94286"/>
    <w:rsid w:val="00C96056"/>
    <w:rsid w:val="00C96269"/>
    <w:rsid w:val="00C96565"/>
    <w:rsid w:val="00C96860"/>
    <w:rsid w:val="00C96A89"/>
    <w:rsid w:val="00C96D17"/>
    <w:rsid w:val="00C97295"/>
    <w:rsid w:val="00C975DA"/>
    <w:rsid w:val="00C9766A"/>
    <w:rsid w:val="00C9795B"/>
    <w:rsid w:val="00C97A05"/>
    <w:rsid w:val="00CA04EB"/>
    <w:rsid w:val="00CA0648"/>
    <w:rsid w:val="00CA1310"/>
    <w:rsid w:val="00CA1344"/>
    <w:rsid w:val="00CA14A6"/>
    <w:rsid w:val="00CA16D0"/>
    <w:rsid w:val="00CA27D5"/>
    <w:rsid w:val="00CA31ED"/>
    <w:rsid w:val="00CA3336"/>
    <w:rsid w:val="00CA360D"/>
    <w:rsid w:val="00CA3630"/>
    <w:rsid w:val="00CA3EA5"/>
    <w:rsid w:val="00CA45E0"/>
    <w:rsid w:val="00CA47DD"/>
    <w:rsid w:val="00CA4AEF"/>
    <w:rsid w:val="00CA4C22"/>
    <w:rsid w:val="00CA4D80"/>
    <w:rsid w:val="00CA5187"/>
    <w:rsid w:val="00CA530A"/>
    <w:rsid w:val="00CA552A"/>
    <w:rsid w:val="00CA55AC"/>
    <w:rsid w:val="00CA5736"/>
    <w:rsid w:val="00CA5A9E"/>
    <w:rsid w:val="00CA5DA4"/>
    <w:rsid w:val="00CA6133"/>
    <w:rsid w:val="00CA6169"/>
    <w:rsid w:val="00CA64A6"/>
    <w:rsid w:val="00CA6655"/>
    <w:rsid w:val="00CA6831"/>
    <w:rsid w:val="00CA683E"/>
    <w:rsid w:val="00CA6B7E"/>
    <w:rsid w:val="00CA73A4"/>
    <w:rsid w:val="00CA79AC"/>
    <w:rsid w:val="00CA7A08"/>
    <w:rsid w:val="00CB0179"/>
    <w:rsid w:val="00CB03AD"/>
    <w:rsid w:val="00CB0B32"/>
    <w:rsid w:val="00CB0C87"/>
    <w:rsid w:val="00CB0D37"/>
    <w:rsid w:val="00CB0F98"/>
    <w:rsid w:val="00CB1B0F"/>
    <w:rsid w:val="00CB2278"/>
    <w:rsid w:val="00CB2C41"/>
    <w:rsid w:val="00CB2FC8"/>
    <w:rsid w:val="00CB34F4"/>
    <w:rsid w:val="00CB4156"/>
    <w:rsid w:val="00CB4D71"/>
    <w:rsid w:val="00CB5BAD"/>
    <w:rsid w:val="00CB5FD1"/>
    <w:rsid w:val="00CB64EA"/>
    <w:rsid w:val="00CB6986"/>
    <w:rsid w:val="00CB6BD8"/>
    <w:rsid w:val="00CB70B4"/>
    <w:rsid w:val="00CB74C1"/>
    <w:rsid w:val="00CB77A9"/>
    <w:rsid w:val="00CB7B55"/>
    <w:rsid w:val="00CB7D0C"/>
    <w:rsid w:val="00CC0031"/>
    <w:rsid w:val="00CC1099"/>
    <w:rsid w:val="00CC1667"/>
    <w:rsid w:val="00CC16E3"/>
    <w:rsid w:val="00CC1882"/>
    <w:rsid w:val="00CC188A"/>
    <w:rsid w:val="00CC1B2D"/>
    <w:rsid w:val="00CC2C4F"/>
    <w:rsid w:val="00CC320E"/>
    <w:rsid w:val="00CC3FDF"/>
    <w:rsid w:val="00CC4374"/>
    <w:rsid w:val="00CC4DF7"/>
    <w:rsid w:val="00CC4DFD"/>
    <w:rsid w:val="00CC5E1E"/>
    <w:rsid w:val="00CC5F3D"/>
    <w:rsid w:val="00CC60B9"/>
    <w:rsid w:val="00CC621E"/>
    <w:rsid w:val="00CC67CA"/>
    <w:rsid w:val="00CC6DF8"/>
    <w:rsid w:val="00CC7729"/>
    <w:rsid w:val="00CD0B15"/>
    <w:rsid w:val="00CD1095"/>
    <w:rsid w:val="00CD14B7"/>
    <w:rsid w:val="00CD1628"/>
    <w:rsid w:val="00CD1956"/>
    <w:rsid w:val="00CD1A83"/>
    <w:rsid w:val="00CD232B"/>
    <w:rsid w:val="00CD2712"/>
    <w:rsid w:val="00CD2E1B"/>
    <w:rsid w:val="00CD2EB5"/>
    <w:rsid w:val="00CD363D"/>
    <w:rsid w:val="00CD38D1"/>
    <w:rsid w:val="00CD3EF1"/>
    <w:rsid w:val="00CD3FC3"/>
    <w:rsid w:val="00CD40E7"/>
    <w:rsid w:val="00CD41EE"/>
    <w:rsid w:val="00CD476F"/>
    <w:rsid w:val="00CD47B4"/>
    <w:rsid w:val="00CD4A90"/>
    <w:rsid w:val="00CD4D91"/>
    <w:rsid w:val="00CD4DF0"/>
    <w:rsid w:val="00CD4EF5"/>
    <w:rsid w:val="00CD6526"/>
    <w:rsid w:val="00CD657F"/>
    <w:rsid w:val="00CD664F"/>
    <w:rsid w:val="00CD7C95"/>
    <w:rsid w:val="00CE0E07"/>
    <w:rsid w:val="00CE0E47"/>
    <w:rsid w:val="00CE25FC"/>
    <w:rsid w:val="00CE2BBB"/>
    <w:rsid w:val="00CE2BC1"/>
    <w:rsid w:val="00CE2F27"/>
    <w:rsid w:val="00CE3373"/>
    <w:rsid w:val="00CE3897"/>
    <w:rsid w:val="00CE3D5E"/>
    <w:rsid w:val="00CE3E84"/>
    <w:rsid w:val="00CE4CEA"/>
    <w:rsid w:val="00CE50B0"/>
    <w:rsid w:val="00CE50F4"/>
    <w:rsid w:val="00CE5139"/>
    <w:rsid w:val="00CE51FF"/>
    <w:rsid w:val="00CE6D38"/>
    <w:rsid w:val="00CE6F91"/>
    <w:rsid w:val="00CE780B"/>
    <w:rsid w:val="00CE7D8F"/>
    <w:rsid w:val="00CE7FFA"/>
    <w:rsid w:val="00CF06CC"/>
    <w:rsid w:val="00CF1420"/>
    <w:rsid w:val="00CF2EC9"/>
    <w:rsid w:val="00CF30A3"/>
    <w:rsid w:val="00CF32E9"/>
    <w:rsid w:val="00CF345C"/>
    <w:rsid w:val="00CF38AE"/>
    <w:rsid w:val="00CF3A90"/>
    <w:rsid w:val="00CF4064"/>
    <w:rsid w:val="00CF4452"/>
    <w:rsid w:val="00CF459B"/>
    <w:rsid w:val="00CF46F5"/>
    <w:rsid w:val="00CF4E94"/>
    <w:rsid w:val="00CF56C1"/>
    <w:rsid w:val="00CF5993"/>
    <w:rsid w:val="00CF5BFF"/>
    <w:rsid w:val="00CF617B"/>
    <w:rsid w:val="00CF68E8"/>
    <w:rsid w:val="00CF69BA"/>
    <w:rsid w:val="00CF7014"/>
    <w:rsid w:val="00CF7432"/>
    <w:rsid w:val="00CF75BA"/>
    <w:rsid w:val="00CF763E"/>
    <w:rsid w:val="00CF7663"/>
    <w:rsid w:val="00CF76D0"/>
    <w:rsid w:val="00CF7923"/>
    <w:rsid w:val="00CF7D01"/>
    <w:rsid w:val="00D0019D"/>
    <w:rsid w:val="00D010E3"/>
    <w:rsid w:val="00D012FE"/>
    <w:rsid w:val="00D01B1F"/>
    <w:rsid w:val="00D0262A"/>
    <w:rsid w:val="00D02E90"/>
    <w:rsid w:val="00D02E9E"/>
    <w:rsid w:val="00D031C8"/>
    <w:rsid w:val="00D031EA"/>
    <w:rsid w:val="00D0426D"/>
    <w:rsid w:val="00D0452B"/>
    <w:rsid w:val="00D04EE4"/>
    <w:rsid w:val="00D05151"/>
    <w:rsid w:val="00D05810"/>
    <w:rsid w:val="00D05E19"/>
    <w:rsid w:val="00D0637D"/>
    <w:rsid w:val="00D07FB1"/>
    <w:rsid w:val="00D104D3"/>
    <w:rsid w:val="00D1083C"/>
    <w:rsid w:val="00D1090D"/>
    <w:rsid w:val="00D10CCD"/>
    <w:rsid w:val="00D11064"/>
    <w:rsid w:val="00D114F6"/>
    <w:rsid w:val="00D11975"/>
    <w:rsid w:val="00D124BF"/>
    <w:rsid w:val="00D12FF8"/>
    <w:rsid w:val="00D13474"/>
    <w:rsid w:val="00D1385C"/>
    <w:rsid w:val="00D1392F"/>
    <w:rsid w:val="00D143AD"/>
    <w:rsid w:val="00D14AD5"/>
    <w:rsid w:val="00D159BF"/>
    <w:rsid w:val="00D15ABD"/>
    <w:rsid w:val="00D15ADE"/>
    <w:rsid w:val="00D15DE9"/>
    <w:rsid w:val="00D163B3"/>
    <w:rsid w:val="00D167E3"/>
    <w:rsid w:val="00D16864"/>
    <w:rsid w:val="00D16984"/>
    <w:rsid w:val="00D16E1E"/>
    <w:rsid w:val="00D17620"/>
    <w:rsid w:val="00D176EB"/>
    <w:rsid w:val="00D1770F"/>
    <w:rsid w:val="00D17B94"/>
    <w:rsid w:val="00D17BFC"/>
    <w:rsid w:val="00D20045"/>
    <w:rsid w:val="00D20376"/>
    <w:rsid w:val="00D20416"/>
    <w:rsid w:val="00D20617"/>
    <w:rsid w:val="00D20CCF"/>
    <w:rsid w:val="00D20F9F"/>
    <w:rsid w:val="00D2145A"/>
    <w:rsid w:val="00D21616"/>
    <w:rsid w:val="00D21942"/>
    <w:rsid w:val="00D21B7F"/>
    <w:rsid w:val="00D21EDF"/>
    <w:rsid w:val="00D22B65"/>
    <w:rsid w:val="00D233F1"/>
    <w:rsid w:val="00D23682"/>
    <w:rsid w:val="00D23875"/>
    <w:rsid w:val="00D24649"/>
    <w:rsid w:val="00D25ED7"/>
    <w:rsid w:val="00D261A4"/>
    <w:rsid w:val="00D263A3"/>
    <w:rsid w:val="00D267A8"/>
    <w:rsid w:val="00D26B54"/>
    <w:rsid w:val="00D26B9D"/>
    <w:rsid w:val="00D26BDA"/>
    <w:rsid w:val="00D26F82"/>
    <w:rsid w:val="00D26FF5"/>
    <w:rsid w:val="00D272CB"/>
    <w:rsid w:val="00D2745F"/>
    <w:rsid w:val="00D2747A"/>
    <w:rsid w:val="00D27BAC"/>
    <w:rsid w:val="00D27D44"/>
    <w:rsid w:val="00D30C9F"/>
    <w:rsid w:val="00D30CE0"/>
    <w:rsid w:val="00D3196B"/>
    <w:rsid w:val="00D32047"/>
    <w:rsid w:val="00D324FC"/>
    <w:rsid w:val="00D326CC"/>
    <w:rsid w:val="00D32A76"/>
    <w:rsid w:val="00D33109"/>
    <w:rsid w:val="00D3320A"/>
    <w:rsid w:val="00D33742"/>
    <w:rsid w:val="00D33746"/>
    <w:rsid w:val="00D33845"/>
    <w:rsid w:val="00D3396A"/>
    <w:rsid w:val="00D33E15"/>
    <w:rsid w:val="00D33F55"/>
    <w:rsid w:val="00D34B82"/>
    <w:rsid w:val="00D35B36"/>
    <w:rsid w:val="00D35F23"/>
    <w:rsid w:val="00D35F36"/>
    <w:rsid w:val="00D362C3"/>
    <w:rsid w:val="00D36E15"/>
    <w:rsid w:val="00D3759F"/>
    <w:rsid w:val="00D378DF"/>
    <w:rsid w:val="00D40301"/>
    <w:rsid w:val="00D40A98"/>
    <w:rsid w:val="00D40BE7"/>
    <w:rsid w:val="00D411A4"/>
    <w:rsid w:val="00D41322"/>
    <w:rsid w:val="00D41732"/>
    <w:rsid w:val="00D41E76"/>
    <w:rsid w:val="00D420F3"/>
    <w:rsid w:val="00D42453"/>
    <w:rsid w:val="00D42B0C"/>
    <w:rsid w:val="00D42B49"/>
    <w:rsid w:val="00D42B55"/>
    <w:rsid w:val="00D42BBB"/>
    <w:rsid w:val="00D43276"/>
    <w:rsid w:val="00D43862"/>
    <w:rsid w:val="00D43A1A"/>
    <w:rsid w:val="00D43EDB"/>
    <w:rsid w:val="00D4460B"/>
    <w:rsid w:val="00D44979"/>
    <w:rsid w:val="00D44CAE"/>
    <w:rsid w:val="00D45326"/>
    <w:rsid w:val="00D45C61"/>
    <w:rsid w:val="00D46584"/>
    <w:rsid w:val="00D4663E"/>
    <w:rsid w:val="00D46A65"/>
    <w:rsid w:val="00D46B0A"/>
    <w:rsid w:val="00D47ABA"/>
    <w:rsid w:val="00D47AC5"/>
    <w:rsid w:val="00D47DB3"/>
    <w:rsid w:val="00D5113F"/>
    <w:rsid w:val="00D51EA7"/>
    <w:rsid w:val="00D5212D"/>
    <w:rsid w:val="00D52BDF"/>
    <w:rsid w:val="00D5379D"/>
    <w:rsid w:val="00D53C1A"/>
    <w:rsid w:val="00D53F53"/>
    <w:rsid w:val="00D54DC2"/>
    <w:rsid w:val="00D5518A"/>
    <w:rsid w:val="00D561FD"/>
    <w:rsid w:val="00D56592"/>
    <w:rsid w:val="00D56BA7"/>
    <w:rsid w:val="00D56C7E"/>
    <w:rsid w:val="00D56FBA"/>
    <w:rsid w:val="00D576E9"/>
    <w:rsid w:val="00D57732"/>
    <w:rsid w:val="00D5781D"/>
    <w:rsid w:val="00D57DBA"/>
    <w:rsid w:val="00D600BC"/>
    <w:rsid w:val="00D6059B"/>
    <w:rsid w:val="00D606BA"/>
    <w:rsid w:val="00D6119B"/>
    <w:rsid w:val="00D6162B"/>
    <w:rsid w:val="00D617EF"/>
    <w:rsid w:val="00D61EC8"/>
    <w:rsid w:val="00D6246D"/>
    <w:rsid w:val="00D62ECD"/>
    <w:rsid w:val="00D630DB"/>
    <w:rsid w:val="00D63127"/>
    <w:rsid w:val="00D631E1"/>
    <w:rsid w:val="00D633B0"/>
    <w:rsid w:val="00D63B1C"/>
    <w:rsid w:val="00D63B6E"/>
    <w:rsid w:val="00D640FD"/>
    <w:rsid w:val="00D64AA2"/>
    <w:rsid w:val="00D64B5E"/>
    <w:rsid w:val="00D64F96"/>
    <w:rsid w:val="00D653E8"/>
    <w:rsid w:val="00D6597B"/>
    <w:rsid w:val="00D659D3"/>
    <w:rsid w:val="00D65BAF"/>
    <w:rsid w:val="00D65CF2"/>
    <w:rsid w:val="00D6626F"/>
    <w:rsid w:val="00D6647F"/>
    <w:rsid w:val="00D66637"/>
    <w:rsid w:val="00D6682C"/>
    <w:rsid w:val="00D66B96"/>
    <w:rsid w:val="00D66CF8"/>
    <w:rsid w:val="00D66DB5"/>
    <w:rsid w:val="00D6729F"/>
    <w:rsid w:val="00D677D3"/>
    <w:rsid w:val="00D67F9B"/>
    <w:rsid w:val="00D7008D"/>
    <w:rsid w:val="00D70299"/>
    <w:rsid w:val="00D705D5"/>
    <w:rsid w:val="00D7086E"/>
    <w:rsid w:val="00D70C49"/>
    <w:rsid w:val="00D70F3A"/>
    <w:rsid w:val="00D72761"/>
    <w:rsid w:val="00D728E3"/>
    <w:rsid w:val="00D72B33"/>
    <w:rsid w:val="00D72BEF"/>
    <w:rsid w:val="00D72C62"/>
    <w:rsid w:val="00D72D8A"/>
    <w:rsid w:val="00D72E48"/>
    <w:rsid w:val="00D73848"/>
    <w:rsid w:val="00D73886"/>
    <w:rsid w:val="00D7596D"/>
    <w:rsid w:val="00D7606E"/>
    <w:rsid w:val="00D769D9"/>
    <w:rsid w:val="00D76AB8"/>
    <w:rsid w:val="00D772B3"/>
    <w:rsid w:val="00D772DF"/>
    <w:rsid w:val="00D77873"/>
    <w:rsid w:val="00D77A52"/>
    <w:rsid w:val="00D77FD0"/>
    <w:rsid w:val="00D80535"/>
    <w:rsid w:val="00D80777"/>
    <w:rsid w:val="00D80B8A"/>
    <w:rsid w:val="00D81B58"/>
    <w:rsid w:val="00D81C14"/>
    <w:rsid w:val="00D81D4C"/>
    <w:rsid w:val="00D8206E"/>
    <w:rsid w:val="00D82135"/>
    <w:rsid w:val="00D832D5"/>
    <w:rsid w:val="00D83376"/>
    <w:rsid w:val="00D834B2"/>
    <w:rsid w:val="00D84B5D"/>
    <w:rsid w:val="00D85127"/>
    <w:rsid w:val="00D853FF"/>
    <w:rsid w:val="00D8616A"/>
    <w:rsid w:val="00D87820"/>
    <w:rsid w:val="00D87A07"/>
    <w:rsid w:val="00D87A7D"/>
    <w:rsid w:val="00D87DE3"/>
    <w:rsid w:val="00D91A64"/>
    <w:rsid w:val="00D91B54"/>
    <w:rsid w:val="00D91B75"/>
    <w:rsid w:val="00D91C91"/>
    <w:rsid w:val="00D92A15"/>
    <w:rsid w:val="00D935A2"/>
    <w:rsid w:val="00D93971"/>
    <w:rsid w:val="00D9434D"/>
    <w:rsid w:val="00D94910"/>
    <w:rsid w:val="00D94C5A"/>
    <w:rsid w:val="00D957C0"/>
    <w:rsid w:val="00D95F89"/>
    <w:rsid w:val="00D96089"/>
    <w:rsid w:val="00D965FE"/>
    <w:rsid w:val="00D9665B"/>
    <w:rsid w:val="00D969DF"/>
    <w:rsid w:val="00D97554"/>
    <w:rsid w:val="00D97C3F"/>
    <w:rsid w:val="00D97F2A"/>
    <w:rsid w:val="00DA0546"/>
    <w:rsid w:val="00DA1332"/>
    <w:rsid w:val="00DA1979"/>
    <w:rsid w:val="00DA1C21"/>
    <w:rsid w:val="00DA29A7"/>
    <w:rsid w:val="00DA2D81"/>
    <w:rsid w:val="00DA309B"/>
    <w:rsid w:val="00DA377B"/>
    <w:rsid w:val="00DA48F6"/>
    <w:rsid w:val="00DA4D91"/>
    <w:rsid w:val="00DA51F6"/>
    <w:rsid w:val="00DA5238"/>
    <w:rsid w:val="00DA53C1"/>
    <w:rsid w:val="00DA5621"/>
    <w:rsid w:val="00DA5650"/>
    <w:rsid w:val="00DA58F2"/>
    <w:rsid w:val="00DA59AF"/>
    <w:rsid w:val="00DA5B67"/>
    <w:rsid w:val="00DA5E91"/>
    <w:rsid w:val="00DA69ED"/>
    <w:rsid w:val="00DA6C01"/>
    <w:rsid w:val="00DA7298"/>
    <w:rsid w:val="00DA7ECD"/>
    <w:rsid w:val="00DB09E4"/>
    <w:rsid w:val="00DB0F80"/>
    <w:rsid w:val="00DB12C1"/>
    <w:rsid w:val="00DB173C"/>
    <w:rsid w:val="00DB24BE"/>
    <w:rsid w:val="00DB28AC"/>
    <w:rsid w:val="00DB2A08"/>
    <w:rsid w:val="00DB2D17"/>
    <w:rsid w:val="00DB2DB2"/>
    <w:rsid w:val="00DB316E"/>
    <w:rsid w:val="00DB3B90"/>
    <w:rsid w:val="00DB4A5A"/>
    <w:rsid w:val="00DB5A3D"/>
    <w:rsid w:val="00DB5E4D"/>
    <w:rsid w:val="00DB5F9F"/>
    <w:rsid w:val="00DB5FD3"/>
    <w:rsid w:val="00DB618A"/>
    <w:rsid w:val="00DB654D"/>
    <w:rsid w:val="00DB6D1F"/>
    <w:rsid w:val="00DB6FC7"/>
    <w:rsid w:val="00DB6FD2"/>
    <w:rsid w:val="00DB6FF9"/>
    <w:rsid w:val="00DB774E"/>
    <w:rsid w:val="00DB7825"/>
    <w:rsid w:val="00DB7B3F"/>
    <w:rsid w:val="00DB7EF1"/>
    <w:rsid w:val="00DC0ABF"/>
    <w:rsid w:val="00DC11CB"/>
    <w:rsid w:val="00DC13EA"/>
    <w:rsid w:val="00DC1461"/>
    <w:rsid w:val="00DC1513"/>
    <w:rsid w:val="00DC158B"/>
    <w:rsid w:val="00DC15A3"/>
    <w:rsid w:val="00DC1BB7"/>
    <w:rsid w:val="00DC1E38"/>
    <w:rsid w:val="00DC28CA"/>
    <w:rsid w:val="00DC2934"/>
    <w:rsid w:val="00DC3ADA"/>
    <w:rsid w:val="00DC4762"/>
    <w:rsid w:val="00DC4A0B"/>
    <w:rsid w:val="00DC4D66"/>
    <w:rsid w:val="00DC4ED4"/>
    <w:rsid w:val="00DC548F"/>
    <w:rsid w:val="00DC60C0"/>
    <w:rsid w:val="00DC60DA"/>
    <w:rsid w:val="00DC625B"/>
    <w:rsid w:val="00DC6D29"/>
    <w:rsid w:val="00DC77B0"/>
    <w:rsid w:val="00DC7DBE"/>
    <w:rsid w:val="00DC7FE1"/>
    <w:rsid w:val="00DD026E"/>
    <w:rsid w:val="00DD046B"/>
    <w:rsid w:val="00DD04D1"/>
    <w:rsid w:val="00DD0805"/>
    <w:rsid w:val="00DD130F"/>
    <w:rsid w:val="00DD25F7"/>
    <w:rsid w:val="00DD26F0"/>
    <w:rsid w:val="00DD2C4D"/>
    <w:rsid w:val="00DD2EC7"/>
    <w:rsid w:val="00DD35FE"/>
    <w:rsid w:val="00DD37BF"/>
    <w:rsid w:val="00DD3D06"/>
    <w:rsid w:val="00DD421E"/>
    <w:rsid w:val="00DD44AD"/>
    <w:rsid w:val="00DD45F6"/>
    <w:rsid w:val="00DD483F"/>
    <w:rsid w:val="00DD5596"/>
    <w:rsid w:val="00DD5A7F"/>
    <w:rsid w:val="00DD5C37"/>
    <w:rsid w:val="00DD6037"/>
    <w:rsid w:val="00DD605D"/>
    <w:rsid w:val="00DD6B23"/>
    <w:rsid w:val="00DD72E6"/>
    <w:rsid w:val="00DD78A4"/>
    <w:rsid w:val="00DD793A"/>
    <w:rsid w:val="00DD7FEF"/>
    <w:rsid w:val="00DE0683"/>
    <w:rsid w:val="00DE0E65"/>
    <w:rsid w:val="00DE1752"/>
    <w:rsid w:val="00DE191F"/>
    <w:rsid w:val="00DE1E06"/>
    <w:rsid w:val="00DE222F"/>
    <w:rsid w:val="00DE2DAC"/>
    <w:rsid w:val="00DE2DBE"/>
    <w:rsid w:val="00DE2E73"/>
    <w:rsid w:val="00DE342A"/>
    <w:rsid w:val="00DE3CFC"/>
    <w:rsid w:val="00DE48C3"/>
    <w:rsid w:val="00DE493A"/>
    <w:rsid w:val="00DE5099"/>
    <w:rsid w:val="00DE58AE"/>
    <w:rsid w:val="00DE7190"/>
    <w:rsid w:val="00DE732E"/>
    <w:rsid w:val="00DE7541"/>
    <w:rsid w:val="00DF1101"/>
    <w:rsid w:val="00DF1157"/>
    <w:rsid w:val="00DF1418"/>
    <w:rsid w:val="00DF178D"/>
    <w:rsid w:val="00DF1C7B"/>
    <w:rsid w:val="00DF2E2D"/>
    <w:rsid w:val="00DF2F30"/>
    <w:rsid w:val="00DF3891"/>
    <w:rsid w:val="00DF38C7"/>
    <w:rsid w:val="00DF4392"/>
    <w:rsid w:val="00DF467D"/>
    <w:rsid w:val="00DF4E1F"/>
    <w:rsid w:val="00DF5301"/>
    <w:rsid w:val="00DF539D"/>
    <w:rsid w:val="00DF54B8"/>
    <w:rsid w:val="00DF6475"/>
    <w:rsid w:val="00DF69A1"/>
    <w:rsid w:val="00DF6DE1"/>
    <w:rsid w:val="00DF6FB9"/>
    <w:rsid w:val="00DF7473"/>
    <w:rsid w:val="00DF752E"/>
    <w:rsid w:val="00DF7D5B"/>
    <w:rsid w:val="00E0035B"/>
    <w:rsid w:val="00E00553"/>
    <w:rsid w:val="00E00956"/>
    <w:rsid w:val="00E011B3"/>
    <w:rsid w:val="00E01587"/>
    <w:rsid w:val="00E01A14"/>
    <w:rsid w:val="00E01A51"/>
    <w:rsid w:val="00E01DF4"/>
    <w:rsid w:val="00E02317"/>
    <w:rsid w:val="00E02EE2"/>
    <w:rsid w:val="00E0328D"/>
    <w:rsid w:val="00E039DA"/>
    <w:rsid w:val="00E04018"/>
    <w:rsid w:val="00E04642"/>
    <w:rsid w:val="00E04815"/>
    <w:rsid w:val="00E04D61"/>
    <w:rsid w:val="00E05109"/>
    <w:rsid w:val="00E05894"/>
    <w:rsid w:val="00E0642C"/>
    <w:rsid w:val="00E068E1"/>
    <w:rsid w:val="00E06BD0"/>
    <w:rsid w:val="00E07516"/>
    <w:rsid w:val="00E07590"/>
    <w:rsid w:val="00E0798D"/>
    <w:rsid w:val="00E07E8E"/>
    <w:rsid w:val="00E07F5A"/>
    <w:rsid w:val="00E109E0"/>
    <w:rsid w:val="00E112D5"/>
    <w:rsid w:val="00E114A8"/>
    <w:rsid w:val="00E11C2F"/>
    <w:rsid w:val="00E11DCF"/>
    <w:rsid w:val="00E11E10"/>
    <w:rsid w:val="00E123CB"/>
    <w:rsid w:val="00E125A9"/>
    <w:rsid w:val="00E1381D"/>
    <w:rsid w:val="00E14575"/>
    <w:rsid w:val="00E14AF6"/>
    <w:rsid w:val="00E14FA3"/>
    <w:rsid w:val="00E1507A"/>
    <w:rsid w:val="00E151B6"/>
    <w:rsid w:val="00E153CF"/>
    <w:rsid w:val="00E1543D"/>
    <w:rsid w:val="00E15B88"/>
    <w:rsid w:val="00E15D9B"/>
    <w:rsid w:val="00E164F4"/>
    <w:rsid w:val="00E16583"/>
    <w:rsid w:val="00E17572"/>
    <w:rsid w:val="00E177EE"/>
    <w:rsid w:val="00E204AA"/>
    <w:rsid w:val="00E204ED"/>
    <w:rsid w:val="00E21541"/>
    <w:rsid w:val="00E21CFC"/>
    <w:rsid w:val="00E22468"/>
    <w:rsid w:val="00E22BAC"/>
    <w:rsid w:val="00E233DA"/>
    <w:rsid w:val="00E2365E"/>
    <w:rsid w:val="00E23890"/>
    <w:rsid w:val="00E23E9C"/>
    <w:rsid w:val="00E24042"/>
    <w:rsid w:val="00E245D5"/>
    <w:rsid w:val="00E245F0"/>
    <w:rsid w:val="00E24ECF"/>
    <w:rsid w:val="00E26131"/>
    <w:rsid w:val="00E26C44"/>
    <w:rsid w:val="00E2721D"/>
    <w:rsid w:val="00E275E1"/>
    <w:rsid w:val="00E27820"/>
    <w:rsid w:val="00E27917"/>
    <w:rsid w:val="00E27B14"/>
    <w:rsid w:val="00E30007"/>
    <w:rsid w:val="00E30388"/>
    <w:rsid w:val="00E304B3"/>
    <w:rsid w:val="00E30727"/>
    <w:rsid w:val="00E315FA"/>
    <w:rsid w:val="00E329AF"/>
    <w:rsid w:val="00E32AC8"/>
    <w:rsid w:val="00E32DF3"/>
    <w:rsid w:val="00E334E4"/>
    <w:rsid w:val="00E33B60"/>
    <w:rsid w:val="00E33D97"/>
    <w:rsid w:val="00E3403F"/>
    <w:rsid w:val="00E342B0"/>
    <w:rsid w:val="00E350B7"/>
    <w:rsid w:val="00E354A4"/>
    <w:rsid w:val="00E356BA"/>
    <w:rsid w:val="00E35FE0"/>
    <w:rsid w:val="00E364CF"/>
    <w:rsid w:val="00E36B10"/>
    <w:rsid w:val="00E36F6E"/>
    <w:rsid w:val="00E37200"/>
    <w:rsid w:val="00E37489"/>
    <w:rsid w:val="00E37A92"/>
    <w:rsid w:val="00E37D1E"/>
    <w:rsid w:val="00E40979"/>
    <w:rsid w:val="00E42075"/>
    <w:rsid w:val="00E42338"/>
    <w:rsid w:val="00E427AA"/>
    <w:rsid w:val="00E42980"/>
    <w:rsid w:val="00E4307B"/>
    <w:rsid w:val="00E43105"/>
    <w:rsid w:val="00E435B7"/>
    <w:rsid w:val="00E4369F"/>
    <w:rsid w:val="00E43A26"/>
    <w:rsid w:val="00E440DC"/>
    <w:rsid w:val="00E44251"/>
    <w:rsid w:val="00E442EF"/>
    <w:rsid w:val="00E462B8"/>
    <w:rsid w:val="00E465D4"/>
    <w:rsid w:val="00E466D8"/>
    <w:rsid w:val="00E46AF2"/>
    <w:rsid w:val="00E46B0A"/>
    <w:rsid w:val="00E46CE9"/>
    <w:rsid w:val="00E47443"/>
    <w:rsid w:val="00E47557"/>
    <w:rsid w:val="00E479A6"/>
    <w:rsid w:val="00E47B7E"/>
    <w:rsid w:val="00E503F7"/>
    <w:rsid w:val="00E50E60"/>
    <w:rsid w:val="00E51B99"/>
    <w:rsid w:val="00E535C9"/>
    <w:rsid w:val="00E54AE4"/>
    <w:rsid w:val="00E5543F"/>
    <w:rsid w:val="00E555E0"/>
    <w:rsid w:val="00E55DD9"/>
    <w:rsid w:val="00E5622E"/>
    <w:rsid w:val="00E56B6C"/>
    <w:rsid w:val="00E5768C"/>
    <w:rsid w:val="00E577EB"/>
    <w:rsid w:val="00E578BF"/>
    <w:rsid w:val="00E60BB7"/>
    <w:rsid w:val="00E6140D"/>
    <w:rsid w:val="00E615EC"/>
    <w:rsid w:val="00E61F52"/>
    <w:rsid w:val="00E621C9"/>
    <w:rsid w:val="00E62559"/>
    <w:rsid w:val="00E62AD5"/>
    <w:rsid w:val="00E63088"/>
    <w:rsid w:val="00E6310F"/>
    <w:rsid w:val="00E63754"/>
    <w:rsid w:val="00E637F4"/>
    <w:rsid w:val="00E63A38"/>
    <w:rsid w:val="00E6401E"/>
    <w:rsid w:val="00E6414B"/>
    <w:rsid w:val="00E64851"/>
    <w:rsid w:val="00E64C3D"/>
    <w:rsid w:val="00E64EBA"/>
    <w:rsid w:val="00E66A1F"/>
    <w:rsid w:val="00E6746F"/>
    <w:rsid w:val="00E674BC"/>
    <w:rsid w:val="00E6764A"/>
    <w:rsid w:val="00E6792D"/>
    <w:rsid w:val="00E679AE"/>
    <w:rsid w:val="00E67C36"/>
    <w:rsid w:val="00E67C51"/>
    <w:rsid w:val="00E70129"/>
    <w:rsid w:val="00E7028E"/>
    <w:rsid w:val="00E70808"/>
    <w:rsid w:val="00E70BD3"/>
    <w:rsid w:val="00E71783"/>
    <w:rsid w:val="00E71DCC"/>
    <w:rsid w:val="00E71FCD"/>
    <w:rsid w:val="00E7237E"/>
    <w:rsid w:val="00E72A5A"/>
    <w:rsid w:val="00E72A77"/>
    <w:rsid w:val="00E72CF1"/>
    <w:rsid w:val="00E72FDA"/>
    <w:rsid w:val="00E7356E"/>
    <w:rsid w:val="00E7359E"/>
    <w:rsid w:val="00E735B1"/>
    <w:rsid w:val="00E741ED"/>
    <w:rsid w:val="00E74391"/>
    <w:rsid w:val="00E7484B"/>
    <w:rsid w:val="00E74BAC"/>
    <w:rsid w:val="00E74BEF"/>
    <w:rsid w:val="00E74D24"/>
    <w:rsid w:val="00E75123"/>
    <w:rsid w:val="00E75521"/>
    <w:rsid w:val="00E7584C"/>
    <w:rsid w:val="00E759D1"/>
    <w:rsid w:val="00E76043"/>
    <w:rsid w:val="00E76238"/>
    <w:rsid w:val="00E767C1"/>
    <w:rsid w:val="00E76EEA"/>
    <w:rsid w:val="00E7702A"/>
    <w:rsid w:val="00E770AD"/>
    <w:rsid w:val="00E77813"/>
    <w:rsid w:val="00E77859"/>
    <w:rsid w:val="00E77882"/>
    <w:rsid w:val="00E77FD2"/>
    <w:rsid w:val="00E8037B"/>
    <w:rsid w:val="00E80458"/>
    <w:rsid w:val="00E81545"/>
    <w:rsid w:val="00E815E5"/>
    <w:rsid w:val="00E81DCB"/>
    <w:rsid w:val="00E81E65"/>
    <w:rsid w:val="00E81F70"/>
    <w:rsid w:val="00E82206"/>
    <w:rsid w:val="00E82492"/>
    <w:rsid w:val="00E8292D"/>
    <w:rsid w:val="00E82EC0"/>
    <w:rsid w:val="00E83C8C"/>
    <w:rsid w:val="00E84577"/>
    <w:rsid w:val="00E845FE"/>
    <w:rsid w:val="00E84E61"/>
    <w:rsid w:val="00E84FA6"/>
    <w:rsid w:val="00E85206"/>
    <w:rsid w:val="00E85F13"/>
    <w:rsid w:val="00E86E25"/>
    <w:rsid w:val="00E87AD3"/>
    <w:rsid w:val="00E90583"/>
    <w:rsid w:val="00E90AF3"/>
    <w:rsid w:val="00E90B31"/>
    <w:rsid w:val="00E90B9C"/>
    <w:rsid w:val="00E90BDF"/>
    <w:rsid w:val="00E91DC1"/>
    <w:rsid w:val="00E925B7"/>
    <w:rsid w:val="00E925F8"/>
    <w:rsid w:val="00E930AB"/>
    <w:rsid w:val="00E931DC"/>
    <w:rsid w:val="00E9330A"/>
    <w:rsid w:val="00E933F3"/>
    <w:rsid w:val="00E937A3"/>
    <w:rsid w:val="00E93B8F"/>
    <w:rsid w:val="00E944F8"/>
    <w:rsid w:val="00E94C27"/>
    <w:rsid w:val="00E94F36"/>
    <w:rsid w:val="00E95603"/>
    <w:rsid w:val="00E95826"/>
    <w:rsid w:val="00E958CC"/>
    <w:rsid w:val="00E95BBD"/>
    <w:rsid w:val="00E96BE3"/>
    <w:rsid w:val="00E97034"/>
    <w:rsid w:val="00E975AC"/>
    <w:rsid w:val="00EA16F5"/>
    <w:rsid w:val="00EA197A"/>
    <w:rsid w:val="00EA258A"/>
    <w:rsid w:val="00EA2D8D"/>
    <w:rsid w:val="00EA34C8"/>
    <w:rsid w:val="00EA358D"/>
    <w:rsid w:val="00EA3772"/>
    <w:rsid w:val="00EA3773"/>
    <w:rsid w:val="00EA447E"/>
    <w:rsid w:val="00EA4B81"/>
    <w:rsid w:val="00EA4DBC"/>
    <w:rsid w:val="00EA4F3B"/>
    <w:rsid w:val="00EA532D"/>
    <w:rsid w:val="00EA6089"/>
    <w:rsid w:val="00EA635F"/>
    <w:rsid w:val="00EA72F9"/>
    <w:rsid w:val="00EA77D1"/>
    <w:rsid w:val="00EA78A5"/>
    <w:rsid w:val="00EA793A"/>
    <w:rsid w:val="00EA7B57"/>
    <w:rsid w:val="00EB01B3"/>
    <w:rsid w:val="00EB037F"/>
    <w:rsid w:val="00EB05D1"/>
    <w:rsid w:val="00EB10EA"/>
    <w:rsid w:val="00EB1976"/>
    <w:rsid w:val="00EB2040"/>
    <w:rsid w:val="00EB2100"/>
    <w:rsid w:val="00EB2478"/>
    <w:rsid w:val="00EB2C1D"/>
    <w:rsid w:val="00EB2D65"/>
    <w:rsid w:val="00EB2FD3"/>
    <w:rsid w:val="00EB31AB"/>
    <w:rsid w:val="00EB3642"/>
    <w:rsid w:val="00EB419A"/>
    <w:rsid w:val="00EB4295"/>
    <w:rsid w:val="00EB4464"/>
    <w:rsid w:val="00EB4B5D"/>
    <w:rsid w:val="00EB4B68"/>
    <w:rsid w:val="00EB4D53"/>
    <w:rsid w:val="00EB4E26"/>
    <w:rsid w:val="00EB4EFE"/>
    <w:rsid w:val="00EB4FD2"/>
    <w:rsid w:val="00EB5329"/>
    <w:rsid w:val="00EB5522"/>
    <w:rsid w:val="00EB565C"/>
    <w:rsid w:val="00EB5751"/>
    <w:rsid w:val="00EB6748"/>
    <w:rsid w:val="00EB6C92"/>
    <w:rsid w:val="00EB7533"/>
    <w:rsid w:val="00EB793C"/>
    <w:rsid w:val="00EB7DE3"/>
    <w:rsid w:val="00EC0184"/>
    <w:rsid w:val="00EC0876"/>
    <w:rsid w:val="00EC0A04"/>
    <w:rsid w:val="00EC0E40"/>
    <w:rsid w:val="00EC0F52"/>
    <w:rsid w:val="00EC11E0"/>
    <w:rsid w:val="00EC129D"/>
    <w:rsid w:val="00EC168F"/>
    <w:rsid w:val="00EC175E"/>
    <w:rsid w:val="00EC1A3D"/>
    <w:rsid w:val="00EC2050"/>
    <w:rsid w:val="00EC22D7"/>
    <w:rsid w:val="00EC245A"/>
    <w:rsid w:val="00EC3829"/>
    <w:rsid w:val="00EC3E45"/>
    <w:rsid w:val="00EC47AB"/>
    <w:rsid w:val="00EC4BAE"/>
    <w:rsid w:val="00EC5D37"/>
    <w:rsid w:val="00EC634A"/>
    <w:rsid w:val="00EC6A3F"/>
    <w:rsid w:val="00EC6BC4"/>
    <w:rsid w:val="00EC6E3C"/>
    <w:rsid w:val="00EC6E65"/>
    <w:rsid w:val="00EC722B"/>
    <w:rsid w:val="00EC7AF2"/>
    <w:rsid w:val="00ED018B"/>
    <w:rsid w:val="00ED0338"/>
    <w:rsid w:val="00ED06FC"/>
    <w:rsid w:val="00ED0979"/>
    <w:rsid w:val="00ED0CA5"/>
    <w:rsid w:val="00ED18D2"/>
    <w:rsid w:val="00ED1CAC"/>
    <w:rsid w:val="00ED1D0E"/>
    <w:rsid w:val="00ED2391"/>
    <w:rsid w:val="00ED2C3E"/>
    <w:rsid w:val="00ED2F77"/>
    <w:rsid w:val="00ED34A9"/>
    <w:rsid w:val="00ED396D"/>
    <w:rsid w:val="00ED3DA3"/>
    <w:rsid w:val="00ED4155"/>
    <w:rsid w:val="00ED43B7"/>
    <w:rsid w:val="00ED4EF7"/>
    <w:rsid w:val="00ED6CF8"/>
    <w:rsid w:val="00ED70F2"/>
    <w:rsid w:val="00ED726B"/>
    <w:rsid w:val="00ED7281"/>
    <w:rsid w:val="00EE1481"/>
    <w:rsid w:val="00EE1823"/>
    <w:rsid w:val="00EE1B9C"/>
    <w:rsid w:val="00EE2D8F"/>
    <w:rsid w:val="00EE32BB"/>
    <w:rsid w:val="00EE336A"/>
    <w:rsid w:val="00EE340A"/>
    <w:rsid w:val="00EE3412"/>
    <w:rsid w:val="00EE39B0"/>
    <w:rsid w:val="00EE3B6F"/>
    <w:rsid w:val="00EE3F8D"/>
    <w:rsid w:val="00EE4609"/>
    <w:rsid w:val="00EE4F32"/>
    <w:rsid w:val="00EE5094"/>
    <w:rsid w:val="00EE5270"/>
    <w:rsid w:val="00EE562A"/>
    <w:rsid w:val="00EE5BE0"/>
    <w:rsid w:val="00EE5CD9"/>
    <w:rsid w:val="00EE5E1F"/>
    <w:rsid w:val="00EE6411"/>
    <w:rsid w:val="00EE66C7"/>
    <w:rsid w:val="00EE6A37"/>
    <w:rsid w:val="00EE6B2F"/>
    <w:rsid w:val="00EE6B8A"/>
    <w:rsid w:val="00EF02F8"/>
    <w:rsid w:val="00EF0400"/>
    <w:rsid w:val="00EF05F5"/>
    <w:rsid w:val="00EF0757"/>
    <w:rsid w:val="00EF0FCF"/>
    <w:rsid w:val="00EF13B8"/>
    <w:rsid w:val="00EF1BE8"/>
    <w:rsid w:val="00EF1BF9"/>
    <w:rsid w:val="00EF4948"/>
    <w:rsid w:val="00EF5474"/>
    <w:rsid w:val="00EF5809"/>
    <w:rsid w:val="00EF5B83"/>
    <w:rsid w:val="00EF5C83"/>
    <w:rsid w:val="00EF65E8"/>
    <w:rsid w:val="00EF6B94"/>
    <w:rsid w:val="00EF765A"/>
    <w:rsid w:val="00EF7A99"/>
    <w:rsid w:val="00EF7B46"/>
    <w:rsid w:val="00EF7D7A"/>
    <w:rsid w:val="00F002B2"/>
    <w:rsid w:val="00F00522"/>
    <w:rsid w:val="00F00AC2"/>
    <w:rsid w:val="00F01C27"/>
    <w:rsid w:val="00F01E77"/>
    <w:rsid w:val="00F01F80"/>
    <w:rsid w:val="00F0204B"/>
    <w:rsid w:val="00F029F4"/>
    <w:rsid w:val="00F02BB6"/>
    <w:rsid w:val="00F04860"/>
    <w:rsid w:val="00F04D27"/>
    <w:rsid w:val="00F05041"/>
    <w:rsid w:val="00F057CE"/>
    <w:rsid w:val="00F05FAA"/>
    <w:rsid w:val="00F0601A"/>
    <w:rsid w:val="00F06220"/>
    <w:rsid w:val="00F06F84"/>
    <w:rsid w:val="00F0724E"/>
    <w:rsid w:val="00F112E5"/>
    <w:rsid w:val="00F1160A"/>
    <w:rsid w:val="00F11977"/>
    <w:rsid w:val="00F12FA2"/>
    <w:rsid w:val="00F143E2"/>
    <w:rsid w:val="00F14C67"/>
    <w:rsid w:val="00F14EAD"/>
    <w:rsid w:val="00F14EFC"/>
    <w:rsid w:val="00F150E7"/>
    <w:rsid w:val="00F152EE"/>
    <w:rsid w:val="00F15506"/>
    <w:rsid w:val="00F15518"/>
    <w:rsid w:val="00F16438"/>
    <w:rsid w:val="00F17113"/>
    <w:rsid w:val="00F17616"/>
    <w:rsid w:val="00F2099D"/>
    <w:rsid w:val="00F20B6E"/>
    <w:rsid w:val="00F22CDA"/>
    <w:rsid w:val="00F22E5F"/>
    <w:rsid w:val="00F22E8A"/>
    <w:rsid w:val="00F2323B"/>
    <w:rsid w:val="00F233B0"/>
    <w:rsid w:val="00F23F0E"/>
    <w:rsid w:val="00F24E5E"/>
    <w:rsid w:val="00F25A3A"/>
    <w:rsid w:val="00F25D76"/>
    <w:rsid w:val="00F261B1"/>
    <w:rsid w:val="00F26337"/>
    <w:rsid w:val="00F26BF1"/>
    <w:rsid w:val="00F26D2B"/>
    <w:rsid w:val="00F26DA9"/>
    <w:rsid w:val="00F2763A"/>
    <w:rsid w:val="00F27A6C"/>
    <w:rsid w:val="00F3013F"/>
    <w:rsid w:val="00F302BC"/>
    <w:rsid w:val="00F3092E"/>
    <w:rsid w:val="00F317C6"/>
    <w:rsid w:val="00F3185C"/>
    <w:rsid w:val="00F31AFF"/>
    <w:rsid w:val="00F31D64"/>
    <w:rsid w:val="00F31E61"/>
    <w:rsid w:val="00F327EC"/>
    <w:rsid w:val="00F33736"/>
    <w:rsid w:val="00F33B09"/>
    <w:rsid w:val="00F3434E"/>
    <w:rsid w:val="00F34C6F"/>
    <w:rsid w:val="00F3573E"/>
    <w:rsid w:val="00F358FC"/>
    <w:rsid w:val="00F35EB5"/>
    <w:rsid w:val="00F360CD"/>
    <w:rsid w:val="00F363D9"/>
    <w:rsid w:val="00F369CA"/>
    <w:rsid w:val="00F36CDA"/>
    <w:rsid w:val="00F36D4A"/>
    <w:rsid w:val="00F3712A"/>
    <w:rsid w:val="00F37392"/>
    <w:rsid w:val="00F37458"/>
    <w:rsid w:val="00F376EB"/>
    <w:rsid w:val="00F37FE5"/>
    <w:rsid w:val="00F4046F"/>
    <w:rsid w:val="00F40613"/>
    <w:rsid w:val="00F4090F"/>
    <w:rsid w:val="00F40B44"/>
    <w:rsid w:val="00F40EC2"/>
    <w:rsid w:val="00F40EFA"/>
    <w:rsid w:val="00F41545"/>
    <w:rsid w:val="00F41EEA"/>
    <w:rsid w:val="00F42DB0"/>
    <w:rsid w:val="00F4341D"/>
    <w:rsid w:val="00F43CE7"/>
    <w:rsid w:val="00F4416C"/>
    <w:rsid w:val="00F443AF"/>
    <w:rsid w:val="00F4455E"/>
    <w:rsid w:val="00F44671"/>
    <w:rsid w:val="00F452C9"/>
    <w:rsid w:val="00F4545C"/>
    <w:rsid w:val="00F45613"/>
    <w:rsid w:val="00F45E3D"/>
    <w:rsid w:val="00F45E7A"/>
    <w:rsid w:val="00F45E80"/>
    <w:rsid w:val="00F46BB8"/>
    <w:rsid w:val="00F4775F"/>
    <w:rsid w:val="00F47A6C"/>
    <w:rsid w:val="00F47CB9"/>
    <w:rsid w:val="00F47D01"/>
    <w:rsid w:val="00F50177"/>
    <w:rsid w:val="00F5031D"/>
    <w:rsid w:val="00F51132"/>
    <w:rsid w:val="00F51284"/>
    <w:rsid w:val="00F51604"/>
    <w:rsid w:val="00F51698"/>
    <w:rsid w:val="00F51CC5"/>
    <w:rsid w:val="00F51D77"/>
    <w:rsid w:val="00F51F90"/>
    <w:rsid w:val="00F5224B"/>
    <w:rsid w:val="00F524C7"/>
    <w:rsid w:val="00F526AE"/>
    <w:rsid w:val="00F52A1C"/>
    <w:rsid w:val="00F52D63"/>
    <w:rsid w:val="00F52F5B"/>
    <w:rsid w:val="00F53AA2"/>
    <w:rsid w:val="00F543CB"/>
    <w:rsid w:val="00F54B70"/>
    <w:rsid w:val="00F54F45"/>
    <w:rsid w:val="00F55287"/>
    <w:rsid w:val="00F5537A"/>
    <w:rsid w:val="00F55F11"/>
    <w:rsid w:val="00F564D9"/>
    <w:rsid w:val="00F567BF"/>
    <w:rsid w:val="00F567C0"/>
    <w:rsid w:val="00F56AC0"/>
    <w:rsid w:val="00F56F0E"/>
    <w:rsid w:val="00F56F47"/>
    <w:rsid w:val="00F57335"/>
    <w:rsid w:val="00F5761C"/>
    <w:rsid w:val="00F57A39"/>
    <w:rsid w:val="00F60C3B"/>
    <w:rsid w:val="00F60FF2"/>
    <w:rsid w:val="00F612FC"/>
    <w:rsid w:val="00F61640"/>
    <w:rsid w:val="00F6170B"/>
    <w:rsid w:val="00F61F72"/>
    <w:rsid w:val="00F623E9"/>
    <w:rsid w:val="00F62680"/>
    <w:rsid w:val="00F62A15"/>
    <w:rsid w:val="00F62D95"/>
    <w:rsid w:val="00F6315B"/>
    <w:rsid w:val="00F633AB"/>
    <w:rsid w:val="00F63723"/>
    <w:rsid w:val="00F637D6"/>
    <w:rsid w:val="00F63986"/>
    <w:rsid w:val="00F63BA4"/>
    <w:rsid w:val="00F64177"/>
    <w:rsid w:val="00F6434E"/>
    <w:rsid w:val="00F64D7E"/>
    <w:rsid w:val="00F6525C"/>
    <w:rsid w:val="00F65382"/>
    <w:rsid w:val="00F65E9E"/>
    <w:rsid w:val="00F66189"/>
    <w:rsid w:val="00F663A1"/>
    <w:rsid w:val="00F67F35"/>
    <w:rsid w:val="00F7017A"/>
    <w:rsid w:val="00F70E29"/>
    <w:rsid w:val="00F71CB7"/>
    <w:rsid w:val="00F7232B"/>
    <w:rsid w:val="00F73196"/>
    <w:rsid w:val="00F73B50"/>
    <w:rsid w:val="00F73FF5"/>
    <w:rsid w:val="00F74BC9"/>
    <w:rsid w:val="00F74BF5"/>
    <w:rsid w:val="00F74EFB"/>
    <w:rsid w:val="00F752E2"/>
    <w:rsid w:val="00F75D70"/>
    <w:rsid w:val="00F76B21"/>
    <w:rsid w:val="00F76E10"/>
    <w:rsid w:val="00F76ECE"/>
    <w:rsid w:val="00F76F54"/>
    <w:rsid w:val="00F7712A"/>
    <w:rsid w:val="00F77556"/>
    <w:rsid w:val="00F77F0E"/>
    <w:rsid w:val="00F803F8"/>
    <w:rsid w:val="00F80B11"/>
    <w:rsid w:val="00F80CEA"/>
    <w:rsid w:val="00F80D6C"/>
    <w:rsid w:val="00F81343"/>
    <w:rsid w:val="00F813B6"/>
    <w:rsid w:val="00F8144D"/>
    <w:rsid w:val="00F8151B"/>
    <w:rsid w:val="00F8195E"/>
    <w:rsid w:val="00F81EA6"/>
    <w:rsid w:val="00F81F5C"/>
    <w:rsid w:val="00F82146"/>
    <w:rsid w:val="00F82465"/>
    <w:rsid w:val="00F827FD"/>
    <w:rsid w:val="00F82B0E"/>
    <w:rsid w:val="00F83B0D"/>
    <w:rsid w:val="00F8415B"/>
    <w:rsid w:val="00F841FB"/>
    <w:rsid w:val="00F846C2"/>
    <w:rsid w:val="00F848FD"/>
    <w:rsid w:val="00F8560C"/>
    <w:rsid w:val="00F85FDE"/>
    <w:rsid w:val="00F86797"/>
    <w:rsid w:val="00F869F8"/>
    <w:rsid w:val="00F86AE8"/>
    <w:rsid w:val="00F86BE3"/>
    <w:rsid w:val="00F8702F"/>
    <w:rsid w:val="00F87981"/>
    <w:rsid w:val="00F87A05"/>
    <w:rsid w:val="00F9070C"/>
    <w:rsid w:val="00F90BA5"/>
    <w:rsid w:val="00F90EFD"/>
    <w:rsid w:val="00F91A2C"/>
    <w:rsid w:val="00F91AE9"/>
    <w:rsid w:val="00F91CC3"/>
    <w:rsid w:val="00F91CD9"/>
    <w:rsid w:val="00F91EA1"/>
    <w:rsid w:val="00F926D8"/>
    <w:rsid w:val="00F92F4D"/>
    <w:rsid w:val="00F934BD"/>
    <w:rsid w:val="00F93823"/>
    <w:rsid w:val="00F93F4C"/>
    <w:rsid w:val="00F94661"/>
    <w:rsid w:val="00F9535B"/>
    <w:rsid w:val="00F95D18"/>
    <w:rsid w:val="00F95DE8"/>
    <w:rsid w:val="00F962C7"/>
    <w:rsid w:val="00F96DE3"/>
    <w:rsid w:val="00F96FD2"/>
    <w:rsid w:val="00F9780A"/>
    <w:rsid w:val="00FA02A8"/>
    <w:rsid w:val="00FA0A59"/>
    <w:rsid w:val="00FA0A95"/>
    <w:rsid w:val="00FA0E40"/>
    <w:rsid w:val="00FA13F8"/>
    <w:rsid w:val="00FA1906"/>
    <w:rsid w:val="00FA2D9D"/>
    <w:rsid w:val="00FA2EC0"/>
    <w:rsid w:val="00FA304F"/>
    <w:rsid w:val="00FA31AD"/>
    <w:rsid w:val="00FA4536"/>
    <w:rsid w:val="00FA47E1"/>
    <w:rsid w:val="00FA4EA3"/>
    <w:rsid w:val="00FA4EFE"/>
    <w:rsid w:val="00FA544F"/>
    <w:rsid w:val="00FA638D"/>
    <w:rsid w:val="00FA63F9"/>
    <w:rsid w:val="00FA7171"/>
    <w:rsid w:val="00FA785F"/>
    <w:rsid w:val="00FB13E0"/>
    <w:rsid w:val="00FB1566"/>
    <w:rsid w:val="00FB1860"/>
    <w:rsid w:val="00FB2E4A"/>
    <w:rsid w:val="00FB2F0B"/>
    <w:rsid w:val="00FB3603"/>
    <w:rsid w:val="00FB39F5"/>
    <w:rsid w:val="00FB3A23"/>
    <w:rsid w:val="00FB407E"/>
    <w:rsid w:val="00FB493B"/>
    <w:rsid w:val="00FB4BD0"/>
    <w:rsid w:val="00FB4CA8"/>
    <w:rsid w:val="00FB4CB2"/>
    <w:rsid w:val="00FB52D1"/>
    <w:rsid w:val="00FB55F8"/>
    <w:rsid w:val="00FB584A"/>
    <w:rsid w:val="00FB5C9C"/>
    <w:rsid w:val="00FB5EBA"/>
    <w:rsid w:val="00FB683C"/>
    <w:rsid w:val="00FB6B34"/>
    <w:rsid w:val="00FB6F8F"/>
    <w:rsid w:val="00FB7891"/>
    <w:rsid w:val="00FB7B65"/>
    <w:rsid w:val="00FB7E0A"/>
    <w:rsid w:val="00FC07C4"/>
    <w:rsid w:val="00FC1067"/>
    <w:rsid w:val="00FC135B"/>
    <w:rsid w:val="00FC1619"/>
    <w:rsid w:val="00FC16E4"/>
    <w:rsid w:val="00FC19E8"/>
    <w:rsid w:val="00FC1A28"/>
    <w:rsid w:val="00FC22CF"/>
    <w:rsid w:val="00FC3556"/>
    <w:rsid w:val="00FC3786"/>
    <w:rsid w:val="00FC38AE"/>
    <w:rsid w:val="00FC400D"/>
    <w:rsid w:val="00FC4541"/>
    <w:rsid w:val="00FC4930"/>
    <w:rsid w:val="00FC5866"/>
    <w:rsid w:val="00FC5B63"/>
    <w:rsid w:val="00FC5E53"/>
    <w:rsid w:val="00FC61DD"/>
    <w:rsid w:val="00FC6811"/>
    <w:rsid w:val="00FC78A9"/>
    <w:rsid w:val="00FD0474"/>
    <w:rsid w:val="00FD04D1"/>
    <w:rsid w:val="00FD0BDA"/>
    <w:rsid w:val="00FD0D25"/>
    <w:rsid w:val="00FD1402"/>
    <w:rsid w:val="00FD22C5"/>
    <w:rsid w:val="00FD288A"/>
    <w:rsid w:val="00FD2DDE"/>
    <w:rsid w:val="00FD2F26"/>
    <w:rsid w:val="00FD3000"/>
    <w:rsid w:val="00FD302D"/>
    <w:rsid w:val="00FD3C14"/>
    <w:rsid w:val="00FD3EB9"/>
    <w:rsid w:val="00FD435E"/>
    <w:rsid w:val="00FD4975"/>
    <w:rsid w:val="00FD4992"/>
    <w:rsid w:val="00FD5098"/>
    <w:rsid w:val="00FD561E"/>
    <w:rsid w:val="00FD5679"/>
    <w:rsid w:val="00FD62E4"/>
    <w:rsid w:val="00FD77AD"/>
    <w:rsid w:val="00FD795D"/>
    <w:rsid w:val="00FD79FF"/>
    <w:rsid w:val="00FD7CF2"/>
    <w:rsid w:val="00FE1321"/>
    <w:rsid w:val="00FE13D7"/>
    <w:rsid w:val="00FE1832"/>
    <w:rsid w:val="00FE1DA4"/>
    <w:rsid w:val="00FE1FD6"/>
    <w:rsid w:val="00FE2619"/>
    <w:rsid w:val="00FE344A"/>
    <w:rsid w:val="00FE3639"/>
    <w:rsid w:val="00FE3880"/>
    <w:rsid w:val="00FE4301"/>
    <w:rsid w:val="00FE47DF"/>
    <w:rsid w:val="00FE49F8"/>
    <w:rsid w:val="00FE566D"/>
    <w:rsid w:val="00FE5780"/>
    <w:rsid w:val="00FE5949"/>
    <w:rsid w:val="00FE59E7"/>
    <w:rsid w:val="00FE6E5C"/>
    <w:rsid w:val="00FE6E81"/>
    <w:rsid w:val="00FE755D"/>
    <w:rsid w:val="00FE75DD"/>
    <w:rsid w:val="00FE7AB7"/>
    <w:rsid w:val="00FF00F2"/>
    <w:rsid w:val="00FF0375"/>
    <w:rsid w:val="00FF037E"/>
    <w:rsid w:val="00FF0C5F"/>
    <w:rsid w:val="00FF0CC1"/>
    <w:rsid w:val="00FF1750"/>
    <w:rsid w:val="00FF1A99"/>
    <w:rsid w:val="00FF1E83"/>
    <w:rsid w:val="00FF241D"/>
    <w:rsid w:val="00FF257A"/>
    <w:rsid w:val="00FF274C"/>
    <w:rsid w:val="00FF2B67"/>
    <w:rsid w:val="00FF2F28"/>
    <w:rsid w:val="00FF31A9"/>
    <w:rsid w:val="00FF354D"/>
    <w:rsid w:val="00FF3842"/>
    <w:rsid w:val="00FF3C5B"/>
    <w:rsid w:val="00FF422E"/>
    <w:rsid w:val="00FF4C48"/>
    <w:rsid w:val="00FF54D0"/>
    <w:rsid w:val="00FF5530"/>
    <w:rsid w:val="00FF5BDD"/>
    <w:rsid w:val="00FF61E2"/>
    <w:rsid w:val="00FF6A9F"/>
    <w:rsid w:val="00FF6B48"/>
    <w:rsid w:val="00FF6D55"/>
    <w:rsid w:val="00FF7563"/>
    <w:rsid w:val="00FF7B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red"/>
    </o:shapedefaults>
    <o:shapelayout v:ext="edit">
      <o:idmap v:ext="edit" data="1"/>
    </o:shapelayout>
  </w:shapeDefaults>
  <w:decimalSymbol w:val="."/>
  <w:listSeparator w:val=","/>
  <w14:docId w14:val="3959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47"/>
    <w:pPr>
      <w:spacing w:after="120" w:line="280" w:lineRule="atLeast"/>
    </w:pPr>
    <w:rPr>
      <w:rFonts w:ascii="Arial" w:hAnsi="Arial"/>
      <w:sz w:val="22"/>
      <w:lang w:val="en-GB" w:eastAsia="en-GB"/>
    </w:rPr>
  </w:style>
  <w:style w:type="paragraph" w:styleId="Heading1">
    <w:name w:val="heading 1"/>
    <w:basedOn w:val="Normal"/>
    <w:next w:val="Normal"/>
    <w:link w:val="Heading1Char"/>
    <w:qFormat/>
    <w:rsid w:val="00751EC7"/>
    <w:pPr>
      <w:pageBreakBefore/>
      <w:spacing w:before="120" w:line="480" w:lineRule="atLeast"/>
      <w:outlineLvl w:val="0"/>
    </w:pPr>
    <w:rPr>
      <w:rFonts w:ascii="Arial Bold" w:hAnsi="Arial Bold" w:cs="Arial"/>
      <w:b/>
      <w:color w:val="002469"/>
      <w:sz w:val="36"/>
      <w:szCs w:val="36"/>
    </w:rPr>
  </w:style>
  <w:style w:type="paragraph" w:styleId="Heading2">
    <w:name w:val="heading 2"/>
    <w:basedOn w:val="Normal"/>
    <w:next w:val="Normal"/>
    <w:link w:val="Heading2Char"/>
    <w:autoRedefine/>
    <w:qFormat/>
    <w:rsid w:val="006E4FDB"/>
    <w:pPr>
      <w:keepNext/>
      <w:tabs>
        <w:tab w:val="left" w:pos="1701"/>
      </w:tabs>
      <w:spacing w:before="320" w:line="260" w:lineRule="atLeast"/>
      <w:outlineLvl w:val="1"/>
    </w:pPr>
    <w:rPr>
      <w:rFonts w:ascii="Arial Bold" w:hAnsi="Arial Bold"/>
      <w:b/>
      <w:color w:val="002469"/>
      <w:sz w:val="28"/>
      <w:szCs w:val="22"/>
    </w:rPr>
  </w:style>
  <w:style w:type="paragraph" w:styleId="Heading3">
    <w:name w:val="heading 3"/>
    <w:basedOn w:val="Heading2"/>
    <w:next w:val="Normal"/>
    <w:link w:val="Heading3Char"/>
    <w:qFormat/>
    <w:rsid w:val="0083287E"/>
    <w:pPr>
      <w:outlineLvl w:val="2"/>
    </w:pPr>
    <w:rPr>
      <w:sz w:val="24"/>
    </w:rPr>
  </w:style>
  <w:style w:type="paragraph" w:styleId="Heading4">
    <w:name w:val="heading 4"/>
    <w:basedOn w:val="Normal"/>
    <w:next w:val="Normal"/>
    <w:link w:val="Heading4Char"/>
    <w:qFormat/>
    <w:rsid w:val="00FC16E4"/>
    <w:pPr>
      <w:keepNext/>
      <w:spacing w:before="120" w:line="240" w:lineRule="auto"/>
      <w:outlineLvl w:val="3"/>
    </w:pPr>
    <w:rPr>
      <w:rFonts w:ascii="Arial Bold" w:hAnsi="Arial Bold"/>
      <w:b/>
      <w:bCs/>
      <w:color w:val="002469"/>
    </w:rPr>
  </w:style>
  <w:style w:type="paragraph" w:styleId="Heading5">
    <w:name w:val="heading 5"/>
    <w:basedOn w:val="Normal"/>
    <w:next w:val="Normal"/>
    <w:link w:val="Heading5Char"/>
    <w:rsid w:val="00B25075"/>
    <w:pPr>
      <w:keepNext/>
      <w:widowControl w:val="0"/>
      <w:spacing w:before="80"/>
      <w:outlineLvl w:val="4"/>
    </w:pPr>
    <w:rPr>
      <w:color w:val="000000"/>
      <w:szCs w:val="22"/>
    </w:rPr>
  </w:style>
  <w:style w:type="paragraph" w:styleId="Heading6">
    <w:name w:val="heading 6"/>
    <w:basedOn w:val="Normal"/>
    <w:next w:val="Normal"/>
    <w:link w:val="Heading6Char"/>
    <w:semiHidden/>
    <w:rsid w:val="00B25075"/>
    <w:pPr>
      <w:spacing w:before="240"/>
      <w:outlineLvl w:val="5"/>
    </w:pPr>
    <w:rPr>
      <w:i/>
      <w:sz w:val="20"/>
    </w:rPr>
  </w:style>
  <w:style w:type="paragraph" w:styleId="Heading7">
    <w:name w:val="heading 7"/>
    <w:basedOn w:val="Normal"/>
    <w:next w:val="Normal"/>
    <w:link w:val="Heading7Char"/>
    <w:semiHidden/>
    <w:rsid w:val="00B25075"/>
    <w:pPr>
      <w:spacing w:before="240"/>
      <w:outlineLvl w:val="6"/>
    </w:pPr>
    <w:rPr>
      <w:sz w:val="20"/>
    </w:rPr>
  </w:style>
  <w:style w:type="paragraph" w:styleId="Heading8">
    <w:name w:val="heading 8"/>
    <w:basedOn w:val="Normal"/>
    <w:next w:val="Normal"/>
    <w:link w:val="Heading8Char"/>
    <w:semiHidden/>
    <w:rsid w:val="00B25075"/>
    <w:pPr>
      <w:spacing w:before="80" w:after="80"/>
      <w:outlineLvl w:val="7"/>
    </w:pPr>
    <w:rPr>
      <w:sz w:val="20"/>
    </w:rPr>
  </w:style>
  <w:style w:type="paragraph" w:styleId="Heading9">
    <w:name w:val="heading 9"/>
    <w:next w:val="Normal"/>
    <w:link w:val="Heading9Char"/>
    <w:semiHidden/>
    <w:rsid w:val="00B25075"/>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EC7"/>
    <w:rPr>
      <w:rFonts w:ascii="Arial Bold" w:hAnsi="Arial Bold" w:cs="Arial"/>
      <w:b/>
      <w:color w:val="002469"/>
      <w:sz w:val="36"/>
      <w:szCs w:val="36"/>
      <w:lang w:val="en-GB" w:eastAsia="en-GB"/>
    </w:rPr>
  </w:style>
  <w:style w:type="character" w:customStyle="1" w:styleId="Heading2Char">
    <w:name w:val="Heading 2 Char"/>
    <w:link w:val="Heading2"/>
    <w:rsid w:val="006E4FDB"/>
    <w:rPr>
      <w:rFonts w:ascii="Arial Bold" w:hAnsi="Arial Bold"/>
      <w:b/>
      <w:color w:val="002469"/>
      <w:sz w:val="28"/>
      <w:szCs w:val="22"/>
      <w:lang w:val="en-GB" w:eastAsia="en-GB"/>
    </w:rPr>
  </w:style>
  <w:style w:type="character" w:customStyle="1" w:styleId="Heading3Char">
    <w:name w:val="Heading 3 Char"/>
    <w:link w:val="Heading3"/>
    <w:rsid w:val="0083287E"/>
    <w:rPr>
      <w:rFonts w:ascii="Arial Bold" w:hAnsi="Arial Bold"/>
      <w:b/>
      <w:color w:val="000000"/>
      <w:sz w:val="24"/>
      <w:szCs w:val="22"/>
      <w:lang w:val="en-GB" w:eastAsia="en-GB"/>
    </w:rPr>
  </w:style>
  <w:style w:type="character" w:customStyle="1" w:styleId="Heading4Char">
    <w:name w:val="Heading 4 Char"/>
    <w:link w:val="Heading4"/>
    <w:rsid w:val="00FC16E4"/>
    <w:rPr>
      <w:rFonts w:ascii="Arial Bold" w:hAnsi="Arial Bold"/>
      <w:b/>
      <w:bCs/>
      <w:color w:val="002469"/>
      <w:sz w:val="22"/>
      <w:lang w:val="en-GB" w:eastAsia="en-GB"/>
    </w:rPr>
  </w:style>
  <w:style w:type="character" w:customStyle="1" w:styleId="Heading5Char">
    <w:name w:val="Heading 5 Char"/>
    <w:link w:val="Heading5"/>
    <w:rsid w:val="0044489C"/>
    <w:rPr>
      <w:rFonts w:ascii="Arial" w:hAnsi="Arial"/>
      <w:color w:val="000000"/>
      <w:sz w:val="22"/>
      <w:szCs w:val="22"/>
      <w:lang w:val="en-GB" w:eastAsia="en-GB"/>
    </w:rPr>
  </w:style>
  <w:style w:type="character" w:customStyle="1" w:styleId="Heading6Char">
    <w:name w:val="Heading 6 Char"/>
    <w:link w:val="Heading6"/>
    <w:semiHidden/>
    <w:rsid w:val="00421D29"/>
    <w:rPr>
      <w:rFonts w:ascii="Arial" w:hAnsi="Arial"/>
      <w:i/>
      <w:lang w:val="en-GB" w:eastAsia="en-GB"/>
    </w:rPr>
  </w:style>
  <w:style w:type="character" w:customStyle="1" w:styleId="Heading7Char">
    <w:name w:val="Heading 7 Char"/>
    <w:link w:val="Heading7"/>
    <w:semiHidden/>
    <w:rsid w:val="00421D29"/>
    <w:rPr>
      <w:rFonts w:ascii="Arial" w:hAnsi="Arial"/>
      <w:lang w:val="en-GB" w:eastAsia="en-GB"/>
    </w:rPr>
  </w:style>
  <w:style w:type="character" w:customStyle="1" w:styleId="Heading8Char">
    <w:name w:val="Heading 8 Char"/>
    <w:link w:val="Heading8"/>
    <w:semiHidden/>
    <w:rsid w:val="00421D29"/>
    <w:rPr>
      <w:rFonts w:ascii="Arial" w:hAnsi="Arial"/>
      <w:lang w:val="en-GB" w:eastAsia="en-GB"/>
    </w:rPr>
  </w:style>
  <w:style w:type="character" w:customStyle="1" w:styleId="Heading9Char">
    <w:name w:val="Heading 9 Char"/>
    <w:link w:val="Heading9"/>
    <w:semiHidden/>
    <w:rsid w:val="00421D29"/>
    <w:rPr>
      <w:rFonts w:ascii="Arial" w:hAnsi="Arial"/>
      <w:b/>
      <w:i/>
      <w:lang w:val="en-AU" w:eastAsia="en-US"/>
    </w:rPr>
  </w:style>
  <w:style w:type="paragraph" w:styleId="Header">
    <w:name w:val="header"/>
    <w:basedOn w:val="Normal"/>
    <w:link w:val="HeaderChar"/>
    <w:rsid w:val="00B25075"/>
    <w:pPr>
      <w:tabs>
        <w:tab w:val="center" w:pos="4153"/>
        <w:tab w:val="right" w:pos="8306"/>
      </w:tabs>
    </w:pPr>
  </w:style>
  <w:style w:type="character" w:customStyle="1" w:styleId="HeaderChar">
    <w:name w:val="Header Char"/>
    <w:link w:val="Header"/>
    <w:rsid w:val="0044489C"/>
    <w:rPr>
      <w:rFonts w:ascii="Arial" w:hAnsi="Arial"/>
      <w:sz w:val="22"/>
      <w:lang w:val="en-GB" w:eastAsia="en-GB"/>
    </w:rPr>
  </w:style>
  <w:style w:type="paragraph" w:styleId="Footer">
    <w:name w:val="footer"/>
    <w:basedOn w:val="Normal"/>
    <w:link w:val="FooterChar"/>
    <w:autoRedefine/>
    <w:uiPriority w:val="99"/>
    <w:rsid w:val="00AE143F"/>
    <w:pPr>
      <w:tabs>
        <w:tab w:val="right" w:pos="9029"/>
      </w:tabs>
      <w:spacing w:after="0" w:line="240" w:lineRule="auto"/>
      <w:ind w:right="-2"/>
    </w:pPr>
    <w:rPr>
      <w:noProof/>
      <w:color w:val="002469"/>
      <w:spacing w:val="6"/>
      <w:sz w:val="16"/>
      <w:szCs w:val="16"/>
    </w:rPr>
  </w:style>
  <w:style w:type="character" w:customStyle="1" w:styleId="FooterChar">
    <w:name w:val="Footer Char"/>
    <w:link w:val="Footer"/>
    <w:uiPriority w:val="99"/>
    <w:rsid w:val="00AE143F"/>
    <w:rPr>
      <w:rFonts w:ascii="Arial" w:hAnsi="Arial"/>
      <w:noProof/>
      <w:color w:val="002469"/>
      <w:spacing w:val="6"/>
      <w:sz w:val="16"/>
      <w:szCs w:val="16"/>
      <w:lang w:val="en-GB" w:eastAsia="en-GB"/>
    </w:rPr>
  </w:style>
  <w:style w:type="character" w:styleId="Hyperlink">
    <w:name w:val="Hyperlink"/>
    <w:uiPriority w:val="99"/>
    <w:rsid w:val="00317C8E"/>
    <w:rPr>
      <w:color w:val="1F4E79"/>
      <w:u w:val="single"/>
    </w:rPr>
  </w:style>
  <w:style w:type="paragraph" w:styleId="BalloonText">
    <w:name w:val="Balloon Text"/>
    <w:basedOn w:val="Normal"/>
    <w:link w:val="BalloonTextChar"/>
    <w:semiHidden/>
    <w:rsid w:val="00B25075"/>
    <w:rPr>
      <w:rFonts w:ascii="Tahoma" w:hAnsi="Tahoma" w:cs="Tahoma"/>
      <w:sz w:val="16"/>
      <w:szCs w:val="16"/>
    </w:rPr>
  </w:style>
  <w:style w:type="character" w:customStyle="1" w:styleId="BalloonTextChar">
    <w:name w:val="Balloon Text Char"/>
    <w:link w:val="BalloonText"/>
    <w:semiHidden/>
    <w:rsid w:val="00376C88"/>
    <w:rPr>
      <w:rFonts w:ascii="Tahoma" w:hAnsi="Tahoma" w:cs="Tahoma"/>
      <w:sz w:val="16"/>
      <w:szCs w:val="16"/>
      <w:lang w:val="en-GB" w:eastAsia="en-GB"/>
    </w:rPr>
  </w:style>
  <w:style w:type="paragraph" w:styleId="Caption">
    <w:name w:val="caption"/>
    <w:basedOn w:val="Normal"/>
    <w:next w:val="Normal"/>
    <w:rsid w:val="00B25075"/>
    <w:rPr>
      <w:b/>
      <w:bCs/>
      <w:sz w:val="20"/>
    </w:rPr>
  </w:style>
  <w:style w:type="paragraph" w:styleId="FootnoteText">
    <w:name w:val="footnote text"/>
    <w:basedOn w:val="Normal"/>
    <w:link w:val="FootnoteTextChar"/>
    <w:qFormat/>
    <w:rsid w:val="00343A00"/>
    <w:pPr>
      <w:tabs>
        <w:tab w:val="left" w:pos="357"/>
      </w:tabs>
      <w:spacing w:after="60" w:line="240" w:lineRule="auto"/>
      <w:ind w:left="357" w:hanging="357"/>
    </w:pPr>
    <w:rPr>
      <w:sz w:val="16"/>
      <w:szCs w:val="16"/>
    </w:rPr>
  </w:style>
  <w:style w:type="character" w:customStyle="1" w:styleId="FootnoteTextChar">
    <w:name w:val="Footnote Text Char"/>
    <w:link w:val="FootnoteText"/>
    <w:rsid w:val="00343A00"/>
    <w:rPr>
      <w:rFonts w:ascii="Arial" w:hAnsi="Arial"/>
      <w:sz w:val="16"/>
      <w:szCs w:val="16"/>
      <w:lang w:val="en-GB" w:eastAsia="en-GB"/>
    </w:rPr>
  </w:style>
  <w:style w:type="character" w:styleId="FootnoteReference">
    <w:name w:val="footnote reference"/>
    <w:rsid w:val="00343A00"/>
    <w:rPr>
      <w:rFonts w:ascii="Arial" w:hAnsi="Arial"/>
      <w:color w:val="auto"/>
      <w:position w:val="0"/>
      <w:sz w:val="16"/>
    </w:rPr>
  </w:style>
  <w:style w:type="paragraph" w:styleId="TOC1">
    <w:name w:val="toc 1"/>
    <w:basedOn w:val="Normal"/>
    <w:next w:val="Normal"/>
    <w:uiPriority w:val="39"/>
    <w:rsid w:val="00B25075"/>
    <w:pPr>
      <w:tabs>
        <w:tab w:val="right" w:leader="dot" w:pos="9214"/>
      </w:tabs>
      <w:spacing w:before="240"/>
      <w:ind w:left="284" w:right="284"/>
    </w:pPr>
    <w:rPr>
      <w:bCs/>
      <w:noProof/>
      <w:sz w:val="24"/>
      <w:szCs w:val="44"/>
    </w:rPr>
  </w:style>
  <w:style w:type="paragraph" w:styleId="TOC2">
    <w:name w:val="toc 2"/>
    <w:basedOn w:val="Normal"/>
    <w:next w:val="Normal"/>
    <w:uiPriority w:val="39"/>
    <w:rsid w:val="00B25075"/>
    <w:pPr>
      <w:tabs>
        <w:tab w:val="right" w:leader="dot" w:pos="9214"/>
      </w:tabs>
      <w:spacing w:before="100" w:after="100"/>
      <w:ind w:left="709" w:right="284"/>
    </w:pPr>
    <w:rPr>
      <w:noProof/>
      <w:sz w:val="24"/>
    </w:rPr>
  </w:style>
  <w:style w:type="paragraph" w:styleId="TOC3">
    <w:name w:val="toc 3"/>
    <w:basedOn w:val="Normal"/>
    <w:next w:val="Normal"/>
    <w:rsid w:val="00B25075"/>
    <w:pPr>
      <w:tabs>
        <w:tab w:val="left" w:leader="dot" w:pos="8646"/>
        <w:tab w:val="right" w:pos="9072"/>
      </w:tabs>
      <w:ind w:left="1418" w:right="850"/>
    </w:pPr>
  </w:style>
  <w:style w:type="paragraph" w:styleId="CommentText">
    <w:name w:val="annotation text"/>
    <w:basedOn w:val="Normal"/>
    <w:link w:val="CommentTextChar"/>
    <w:semiHidden/>
    <w:rsid w:val="00B25075"/>
    <w:rPr>
      <w:sz w:val="20"/>
    </w:rPr>
  </w:style>
  <w:style w:type="character" w:customStyle="1" w:styleId="CommentTextChar">
    <w:name w:val="Comment Text Char"/>
    <w:link w:val="CommentText"/>
    <w:semiHidden/>
    <w:rsid w:val="0044489C"/>
    <w:rPr>
      <w:rFonts w:ascii="Arial" w:hAnsi="Arial"/>
      <w:lang w:val="en-GB" w:eastAsia="en-GB"/>
    </w:rPr>
  </w:style>
  <w:style w:type="paragraph" w:styleId="CommentSubject">
    <w:name w:val="annotation subject"/>
    <w:basedOn w:val="CommentText"/>
    <w:next w:val="CommentText"/>
    <w:link w:val="CommentSubjectChar"/>
    <w:semiHidden/>
    <w:rsid w:val="00B25075"/>
    <w:rPr>
      <w:b/>
      <w:bCs/>
    </w:rPr>
  </w:style>
  <w:style w:type="character" w:customStyle="1" w:styleId="CommentSubjectChar">
    <w:name w:val="Comment Subject Char"/>
    <w:link w:val="CommentSubject"/>
    <w:semiHidden/>
    <w:rsid w:val="0044489C"/>
    <w:rPr>
      <w:rFonts w:ascii="Arial" w:hAnsi="Arial"/>
      <w:b/>
      <w:bCs/>
      <w:lang w:val="en-GB" w:eastAsia="en-GB"/>
    </w:rPr>
  </w:style>
  <w:style w:type="paragraph" w:styleId="DocumentMap">
    <w:name w:val="Document Map"/>
    <w:basedOn w:val="Normal"/>
    <w:link w:val="DocumentMapChar"/>
    <w:semiHidden/>
    <w:rsid w:val="00B25075"/>
    <w:pPr>
      <w:shd w:val="clear" w:color="auto" w:fill="000080"/>
    </w:pPr>
    <w:rPr>
      <w:rFonts w:ascii="Tahoma" w:hAnsi="Tahoma" w:cs="Tahoma"/>
      <w:sz w:val="20"/>
    </w:rPr>
  </w:style>
  <w:style w:type="character" w:customStyle="1" w:styleId="DocumentMapChar">
    <w:name w:val="Document Map Char"/>
    <w:link w:val="DocumentMap"/>
    <w:semiHidden/>
    <w:rsid w:val="0044489C"/>
    <w:rPr>
      <w:rFonts w:ascii="Tahoma" w:hAnsi="Tahoma" w:cs="Tahoma"/>
      <w:shd w:val="clear" w:color="auto" w:fill="000080"/>
      <w:lang w:val="en-GB" w:eastAsia="en-GB"/>
    </w:rPr>
  </w:style>
  <w:style w:type="paragraph" w:customStyle="1" w:styleId="Boxtext">
    <w:name w:val="Box text"/>
    <w:basedOn w:val="Normal"/>
    <w:rsid w:val="00B25075"/>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Normal"/>
    <w:rsid w:val="00343A00"/>
    <w:pPr>
      <w:numPr>
        <w:numId w:val="15"/>
      </w:numPr>
      <w:pBdr>
        <w:top w:val="single" w:sz="4" w:space="4" w:color="F2F2F2"/>
        <w:left w:val="single" w:sz="4" w:space="4" w:color="F2F2F2"/>
        <w:bottom w:val="single" w:sz="4" w:space="8" w:color="F2F2F2"/>
        <w:right w:val="single" w:sz="4" w:space="4" w:color="F2F2F2"/>
      </w:pBdr>
      <w:shd w:val="clear" w:color="auto" w:fill="DEEAF6"/>
      <w:spacing w:after="60" w:line="260" w:lineRule="atLeast"/>
    </w:pPr>
    <w:rPr>
      <w:color w:val="1F4E79"/>
      <w:sz w:val="20"/>
    </w:rPr>
  </w:style>
  <w:style w:type="paragraph" w:customStyle="1" w:styleId="Boxheading">
    <w:name w:val="Box heading"/>
    <w:basedOn w:val="Normal"/>
    <w:next w:val="Boxtext"/>
    <w:autoRedefine/>
    <w:rsid w:val="00B25075"/>
    <w:pPr>
      <w:spacing w:before="180" w:after="60" w:line="240" w:lineRule="auto"/>
      <w:ind w:left="284" w:right="284"/>
    </w:pPr>
    <w:rPr>
      <w:rFonts w:ascii="Arial Narrow" w:hAnsi="Arial Narrow"/>
      <w:b/>
      <w:bCs/>
      <w:color w:val="335087"/>
      <w:spacing w:val="10"/>
      <w:szCs w:val="22"/>
    </w:rPr>
  </w:style>
  <w:style w:type="paragraph" w:customStyle="1" w:styleId="Bullet-list">
    <w:name w:val="Bullet-list"/>
    <w:qFormat/>
    <w:rsid w:val="007A4FCF"/>
    <w:pPr>
      <w:numPr>
        <w:numId w:val="5"/>
      </w:numPr>
      <w:spacing w:after="120" w:line="280" w:lineRule="atLeast"/>
      <w:ind w:left="425" w:hanging="425"/>
    </w:pPr>
    <w:rPr>
      <w:rFonts w:ascii="Arial" w:hAnsi="Arial"/>
      <w:sz w:val="22"/>
      <w:lang w:val="en-AU" w:eastAsia="en-US"/>
    </w:rPr>
  </w:style>
  <w:style w:type="paragraph" w:customStyle="1" w:styleId="EvenFooter">
    <w:name w:val="Even Footer"/>
    <w:basedOn w:val="Footer"/>
    <w:rsid w:val="00B25075"/>
  </w:style>
  <w:style w:type="table" w:styleId="TableGrid">
    <w:name w:val="Table Grid"/>
    <w:basedOn w:val="TableNormal"/>
    <w:uiPriority w:val="39"/>
    <w:rsid w:val="00B250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B25075"/>
    <w:pPr>
      <w:keepNext/>
      <w:spacing w:after="0" w:line="240" w:lineRule="auto"/>
    </w:pPr>
    <w:rPr>
      <w:sz w:val="20"/>
    </w:rPr>
  </w:style>
  <w:style w:type="paragraph" w:customStyle="1" w:styleId="TableText">
    <w:name w:val="Table Text"/>
    <w:basedOn w:val="Normal"/>
    <w:rsid w:val="008F7EA6"/>
    <w:pPr>
      <w:autoSpaceDE w:val="0"/>
      <w:autoSpaceDN w:val="0"/>
      <w:adjustRightInd w:val="0"/>
      <w:spacing w:before="60" w:after="60" w:line="240" w:lineRule="atLeast"/>
    </w:pPr>
    <w:rPr>
      <w:rFonts w:cs="GillSans"/>
      <w:sz w:val="20"/>
      <w:szCs w:val="22"/>
      <w:lang w:eastAsia="en-AU"/>
    </w:rPr>
  </w:style>
  <w:style w:type="paragraph" w:customStyle="1" w:styleId="Default">
    <w:name w:val="Default"/>
    <w:uiPriority w:val="99"/>
    <w:rsid w:val="00D66CF8"/>
    <w:pPr>
      <w:autoSpaceDE w:val="0"/>
      <w:autoSpaceDN w:val="0"/>
      <w:adjustRightInd w:val="0"/>
    </w:pPr>
    <w:rPr>
      <w:rFonts w:ascii="Arial" w:hAnsi="Arial" w:cs="Arial"/>
      <w:color w:val="000000"/>
      <w:sz w:val="24"/>
      <w:szCs w:val="24"/>
      <w:lang w:val="en-GB" w:eastAsia="en-GB"/>
    </w:rPr>
  </w:style>
  <w:style w:type="character" w:styleId="CommentReference">
    <w:name w:val="annotation reference"/>
    <w:semiHidden/>
    <w:rsid w:val="00B25075"/>
    <w:rPr>
      <w:sz w:val="16"/>
      <w:szCs w:val="16"/>
    </w:rPr>
  </w:style>
  <w:style w:type="character" w:styleId="FollowedHyperlink">
    <w:name w:val="FollowedHyperlink"/>
    <w:rsid w:val="00B25075"/>
    <w:rPr>
      <w:color w:val="800080"/>
      <w:u w:val="single"/>
    </w:rPr>
  </w:style>
  <w:style w:type="paragraph" w:styleId="Title">
    <w:name w:val="Title"/>
    <w:basedOn w:val="Normal"/>
    <w:link w:val="TitleChar"/>
    <w:rsid w:val="00B25075"/>
    <w:pPr>
      <w:widowControl w:val="0"/>
      <w:autoSpaceDE w:val="0"/>
      <w:autoSpaceDN w:val="0"/>
      <w:adjustRightInd w:val="0"/>
      <w:spacing w:before="1560" w:after="720" w:line="240" w:lineRule="atLeast"/>
    </w:pPr>
    <w:rPr>
      <w:rFonts w:cs="Arial"/>
      <w:color w:val="002469"/>
      <w:w w:val="90"/>
      <w:sz w:val="48"/>
      <w:szCs w:val="48"/>
    </w:rPr>
  </w:style>
  <w:style w:type="character" w:customStyle="1" w:styleId="TitleChar">
    <w:name w:val="Title Char"/>
    <w:link w:val="Title"/>
    <w:rsid w:val="00F1160A"/>
    <w:rPr>
      <w:rFonts w:ascii="Arial" w:hAnsi="Arial" w:cs="Arial"/>
      <w:color w:val="002469"/>
      <w:w w:val="90"/>
      <w:sz w:val="48"/>
      <w:szCs w:val="48"/>
      <w:lang w:val="en-GB" w:eastAsia="en-GB"/>
    </w:rPr>
  </w:style>
  <w:style w:type="paragraph" w:customStyle="1" w:styleId="Author">
    <w:name w:val="Author"/>
    <w:basedOn w:val="Normal"/>
    <w:semiHidden/>
    <w:rsid w:val="00B25075"/>
    <w:pPr>
      <w:spacing w:before="240" w:after="1200"/>
      <w:ind w:left="-181"/>
      <w:jc w:val="right"/>
    </w:pPr>
    <w:rPr>
      <w:rFonts w:cs="Arial"/>
      <w:i/>
      <w:sz w:val="40"/>
      <w:szCs w:val="22"/>
    </w:rPr>
  </w:style>
  <w:style w:type="paragraph" w:styleId="NormalWeb">
    <w:name w:val="Normal (Web)"/>
    <w:basedOn w:val="Normal"/>
    <w:uiPriority w:val="99"/>
    <w:rsid w:val="00FD4992"/>
    <w:rPr>
      <w:sz w:val="24"/>
      <w:szCs w:val="24"/>
    </w:rPr>
  </w:style>
  <w:style w:type="character" w:styleId="Strong">
    <w:name w:val="Strong"/>
    <w:uiPriority w:val="99"/>
    <w:qFormat/>
    <w:rsid w:val="00666A40"/>
    <w:rPr>
      <w:rFonts w:cs="Times New Roman"/>
      <w:b/>
      <w:bCs/>
    </w:rPr>
  </w:style>
  <w:style w:type="paragraph" w:styleId="ListParagraph">
    <w:name w:val="List Paragraph"/>
    <w:basedOn w:val="Normal"/>
    <w:link w:val="ListParagraphChar"/>
    <w:uiPriority w:val="34"/>
    <w:qFormat/>
    <w:rsid w:val="006E42F9"/>
    <w:pPr>
      <w:numPr>
        <w:numId w:val="1"/>
      </w:numPr>
      <w:ind w:left="425" w:hanging="425"/>
    </w:pPr>
    <w:rPr>
      <w:lang w:val="en-NZ"/>
    </w:rPr>
  </w:style>
  <w:style w:type="paragraph" w:customStyle="1" w:styleId="spacer">
    <w:name w:val="spacer"/>
    <w:basedOn w:val="Normal"/>
    <w:qFormat/>
    <w:rsid w:val="00B25075"/>
    <w:pPr>
      <w:spacing w:after="0" w:line="240" w:lineRule="auto"/>
    </w:pPr>
    <w:rPr>
      <w:sz w:val="16"/>
      <w:szCs w:val="22"/>
      <w:lang w:eastAsia="en-AU"/>
    </w:rPr>
  </w:style>
  <w:style w:type="paragraph" w:customStyle="1" w:styleId="TableHeading">
    <w:name w:val="Table Heading"/>
    <w:basedOn w:val="Normal"/>
    <w:uiPriority w:val="99"/>
    <w:rsid w:val="008F7EA6"/>
    <w:pPr>
      <w:spacing w:before="60" w:after="60" w:line="240" w:lineRule="atLeast"/>
    </w:pPr>
    <w:rPr>
      <w:b/>
      <w:color w:val="002469"/>
      <w:sz w:val="20"/>
    </w:rPr>
  </w:style>
  <w:style w:type="table" w:customStyle="1" w:styleId="MediumShading1-Accent11">
    <w:name w:val="Medium Shading 1 - Accent 11"/>
    <w:basedOn w:val="TableNormal"/>
    <w:uiPriority w:val="63"/>
    <w:rsid w:val="0035331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3533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3533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533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OCHeading">
    <w:name w:val="TOC Heading"/>
    <w:basedOn w:val="Heading1"/>
    <w:next w:val="Normal"/>
    <w:uiPriority w:val="39"/>
    <w:qFormat/>
    <w:rsid w:val="00B25075"/>
    <w:pPr>
      <w:keepLines/>
      <w:spacing w:before="480" w:after="0" w:line="276" w:lineRule="auto"/>
      <w:outlineLvl w:val="9"/>
    </w:pPr>
    <w:rPr>
      <w:rFonts w:ascii="Arial" w:hAnsi="Arial"/>
      <w:color w:val="365F91"/>
      <w:lang w:val="en-US" w:eastAsia="en-US"/>
    </w:rPr>
  </w:style>
  <w:style w:type="table" w:customStyle="1" w:styleId="MediumShading2-Accent12">
    <w:name w:val="Medium Shading 2 - Accent 12"/>
    <w:basedOn w:val="TableNormal"/>
    <w:uiPriority w:val="64"/>
    <w:rsid w:val="002D74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13056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F91AE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F91AE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uiPriority w:val="99"/>
    <w:semiHidden/>
    <w:unhideWhenUsed/>
    <w:rsid w:val="00107EF2"/>
    <w:rPr>
      <w:sz w:val="20"/>
    </w:rPr>
  </w:style>
  <w:style w:type="character" w:customStyle="1" w:styleId="EndnoteTextChar">
    <w:name w:val="Endnote Text Char"/>
    <w:link w:val="EndnoteText"/>
    <w:uiPriority w:val="99"/>
    <w:semiHidden/>
    <w:rsid w:val="00107EF2"/>
    <w:rPr>
      <w:rFonts w:ascii="Arial" w:hAnsi="Arial" w:cs="Arial"/>
      <w:lang w:val="en-AU" w:eastAsia="en-US"/>
    </w:rPr>
  </w:style>
  <w:style w:type="character" w:styleId="EndnoteReference">
    <w:name w:val="endnote reference"/>
    <w:uiPriority w:val="99"/>
    <w:semiHidden/>
    <w:unhideWhenUsed/>
    <w:rsid w:val="00107EF2"/>
    <w:rPr>
      <w:vertAlign w:val="superscript"/>
    </w:rPr>
  </w:style>
  <w:style w:type="paragraph" w:styleId="TOC4">
    <w:name w:val="toc 4"/>
    <w:basedOn w:val="Normal"/>
    <w:next w:val="Normal"/>
    <w:autoRedefine/>
    <w:uiPriority w:val="39"/>
    <w:semiHidden/>
    <w:rsid w:val="003E2DED"/>
    <w:pPr>
      <w:spacing w:after="0"/>
      <w:ind w:left="660"/>
    </w:pPr>
    <w:rPr>
      <w:rFonts w:ascii="Calibri" w:hAnsi="Calibri" w:cs="Calibri"/>
      <w:sz w:val="20"/>
    </w:rPr>
  </w:style>
  <w:style w:type="paragraph" w:styleId="TOC5">
    <w:name w:val="toc 5"/>
    <w:basedOn w:val="Normal"/>
    <w:next w:val="Normal"/>
    <w:autoRedefine/>
    <w:uiPriority w:val="39"/>
    <w:semiHidden/>
    <w:rsid w:val="003E2DED"/>
    <w:pPr>
      <w:spacing w:after="0"/>
      <w:ind w:left="880"/>
    </w:pPr>
    <w:rPr>
      <w:rFonts w:ascii="Calibri" w:hAnsi="Calibri" w:cs="Calibri"/>
      <w:sz w:val="20"/>
    </w:rPr>
  </w:style>
  <w:style w:type="paragraph" w:styleId="TOC6">
    <w:name w:val="toc 6"/>
    <w:basedOn w:val="Normal"/>
    <w:next w:val="Normal"/>
    <w:autoRedefine/>
    <w:uiPriority w:val="39"/>
    <w:semiHidden/>
    <w:rsid w:val="003E2DED"/>
    <w:pPr>
      <w:spacing w:after="0"/>
      <w:ind w:left="1100"/>
    </w:pPr>
    <w:rPr>
      <w:rFonts w:ascii="Calibri" w:hAnsi="Calibri" w:cs="Calibri"/>
      <w:sz w:val="20"/>
    </w:rPr>
  </w:style>
  <w:style w:type="paragraph" w:styleId="TOC7">
    <w:name w:val="toc 7"/>
    <w:basedOn w:val="Normal"/>
    <w:next w:val="Normal"/>
    <w:autoRedefine/>
    <w:uiPriority w:val="39"/>
    <w:semiHidden/>
    <w:rsid w:val="003E2DED"/>
    <w:pPr>
      <w:spacing w:after="0"/>
      <w:ind w:left="1320"/>
    </w:pPr>
    <w:rPr>
      <w:rFonts w:ascii="Calibri" w:hAnsi="Calibri" w:cs="Calibri"/>
      <w:sz w:val="20"/>
    </w:rPr>
  </w:style>
  <w:style w:type="paragraph" w:styleId="TOC8">
    <w:name w:val="toc 8"/>
    <w:basedOn w:val="Normal"/>
    <w:next w:val="Normal"/>
    <w:autoRedefine/>
    <w:uiPriority w:val="39"/>
    <w:semiHidden/>
    <w:rsid w:val="003E2DED"/>
    <w:pPr>
      <w:spacing w:after="0"/>
      <w:ind w:left="1540"/>
    </w:pPr>
    <w:rPr>
      <w:rFonts w:ascii="Calibri" w:hAnsi="Calibri" w:cs="Calibri"/>
      <w:sz w:val="20"/>
    </w:rPr>
  </w:style>
  <w:style w:type="paragraph" w:styleId="TOC9">
    <w:name w:val="toc 9"/>
    <w:basedOn w:val="Normal"/>
    <w:next w:val="Normal"/>
    <w:autoRedefine/>
    <w:uiPriority w:val="39"/>
    <w:semiHidden/>
    <w:rsid w:val="003E2DED"/>
    <w:pPr>
      <w:spacing w:after="0"/>
      <w:ind w:left="1760"/>
    </w:pPr>
    <w:rPr>
      <w:rFonts w:ascii="Calibri" w:hAnsi="Calibri" w:cs="Calibri"/>
      <w:sz w:val="20"/>
    </w:rPr>
  </w:style>
  <w:style w:type="character" w:styleId="Emphasis">
    <w:name w:val="Emphasis"/>
    <w:uiPriority w:val="20"/>
    <w:qFormat/>
    <w:rsid w:val="00343A00"/>
    <w:rPr>
      <w:i/>
      <w:iCs/>
      <w:color w:val="1F4E79"/>
      <w:sz w:val="20"/>
    </w:rPr>
  </w:style>
  <w:style w:type="paragraph" w:customStyle="1" w:styleId="TableBullet">
    <w:name w:val="Table Bullet"/>
    <w:basedOn w:val="ListParagraph"/>
    <w:qFormat/>
    <w:rsid w:val="001D4EBA"/>
    <w:pPr>
      <w:numPr>
        <w:numId w:val="2"/>
      </w:numPr>
      <w:spacing w:before="60" w:after="60"/>
    </w:pPr>
    <w:rPr>
      <w:sz w:val="20"/>
    </w:rPr>
  </w:style>
  <w:style w:type="paragraph" w:customStyle="1" w:styleId="TableHeading2">
    <w:name w:val="Table Heading 2"/>
    <w:basedOn w:val="TableText"/>
    <w:qFormat/>
    <w:rsid w:val="001D4EBA"/>
    <w:rPr>
      <w:b/>
      <w:color w:val="335087"/>
    </w:rPr>
  </w:style>
  <w:style w:type="paragraph" w:styleId="Subtitle">
    <w:name w:val="Subtitle"/>
    <w:basedOn w:val="Normal"/>
    <w:next w:val="Normal"/>
    <w:link w:val="SubtitleChar"/>
    <w:rsid w:val="00B25075"/>
    <w:pPr>
      <w:widowControl w:val="0"/>
      <w:autoSpaceDE w:val="0"/>
      <w:autoSpaceDN w:val="0"/>
      <w:adjustRightInd w:val="0"/>
      <w:spacing w:before="360" w:after="720" w:line="600" w:lineRule="atLeast"/>
    </w:pPr>
    <w:rPr>
      <w:rFonts w:cs="Arial"/>
      <w:color w:val="002469"/>
      <w:sz w:val="36"/>
      <w:szCs w:val="36"/>
    </w:rPr>
  </w:style>
  <w:style w:type="character" w:customStyle="1" w:styleId="SubtitleChar">
    <w:name w:val="Subtitle Char"/>
    <w:link w:val="Subtitle"/>
    <w:rsid w:val="00B25075"/>
    <w:rPr>
      <w:rFonts w:ascii="Arial" w:hAnsi="Arial" w:cs="Arial"/>
      <w:color w:val="002469"/>
      <w:sz w:val="36"/>
      <w:szCs w:val="36"/>
      <w:lang w:val="en-GB" w:eastAsia="en-GB"/>
    </w:rPr>
  </w:style>
  <w:style w:type="paragraph" w:customStyle="1" w:styleId="TableHeading1">
    <w:name w:val="Table Heading 1"/>
    <w:basedOn w:val="Normal"/>
    <w:qFormat/>
    <w:rsid w:val="007C273F"/>
    <w:pPr>
      <w:keepNext/>
      <w:spacing w:after="0"/>
    </w:pPr>
    <w:rPr>
      <w:b/>
      <w:color w:val="000000"/>
      <w:sz w:val="20"/>
    </w:rPr>
  </w:style>
  <w:style w:type="character" w:customStyle="1" w:styleId="ListParagraphChar">
    <w:name w:val="List Paragraph Char"/>
    <w:link w:val="ListParagraph"/>
    <w:uiPriority w:val="34"/>
    <w:rsid w:val="006E42F9"/>
    <w:rPr>
      <w:rFonts w:ascii="Arial" w:hAnsi="Arial"/>
      <w:sz w:val="22"/>
      <w:lang w:eastAsia="en-GB"/>
    </w:rPr>
  </w:style>
  <w:style w:type="paragraph" w:customStyle="1" w:styleId="Evenfooter-wide">
    <w:name w:val="Even footer-wide"/>
    <w:basedOn w:val="Normal"/>
    <w:rsid w:val="00607C47"/>
    <w:pPr>
      <w:spacing w:after="0" w:line="240" w:lineRule="auto"/>
    </w:pPr>
    <w:rPr>
      <w:noProof/>
      <w:color w:val="002469"/>
      <w:spacing w:val="6"/>
      <w:sz w:val="16"/>
      <w:szCs w:val="16"/>
    </w:rPr>
  </w:style>
  <w:style w:type="character" w:customStyle="1" w:styleId="hvr">
    <w:name w:val="hvr"/>
    <w:rsid w:val="003719BF"/>
  </w:style>
  <w:style w:type="paragraph" w:styleId="Revision">
    <w:name w:val="Revision"/>
    <w:hidden/>
    <w:uiPriority w:val="99"/>
    <w:semiHidden/>
    <w:rsid w:val="00AC13FF"/>
    <w:rPr>
      <w:rFonts w:ascii="Arial" w:hAnsi="Arial"/>
      <w:sz w:val="22"/>
      <w:lang w:val="en-GB" w:eastAsia="en-GB"/>
    </w:rPr>
  </w:style>
  <w:style w:type="paragraph" w:customStyle="1" w:styleId="GPBGTTH1">
    <w:name w:val="GPB GTT H1"/>
    <w:basedOn w:val="Normal"/>
    <w:link w:val="GPBGTTH1Char"/>
    <w:qFormat/>
    <w:rsid w:val="001442F9"/>
    <w:pPr>
      <w:spacing w:before="240" w:line="240" w:lineRule="auto"/>
    </w:pPr>
    <w:rPr>
      <w:rFonts w:eastAsia="Cambria"/>
      <w:color w:val="00669A"/>
      <w:sz w:val="32"/>
      <w:szCs w:val="32"/>
      <w:lang w:eastAsia="en-US"/>
    </w:rPr>
  </w:style>
  <w:style w:type="character" w:customStyle="1" w:styleId="GPBGTTH1Char">
    <w:name w:val="GPB GTT H1 Char"/>
    <w:link w:val="GPBGTTH1"/>
    <w:rsid w:val="001442F9"/>
    <w:rPr>
      <w:rFonts w:ascii="Arial" w:eastAsia="Cambria" w:hAnsi="Arial"/>
      <w:color w:val="00669A"/>
      <w:sz w:val="32"/>
      <w:szCs w:val="32"/>
      <w:lang w:val="en-GB" w:eastAsia="en-US"/>
    </w:rPr>
  </w:style>
  <w:style w:type="character" w:customStyle="1" w:styleId="UnresolvedMention1">
    <w:name w:val="Unresolved Mention1"/>
    <w:basedOn w:val="DefaultParagraphFont"/>
    <w:uiPriority w:val="99"/>
    <w:semiHidden/>
    <w:unhideWhenUsed/>
    <w:rsid w:val="00682458"/>
    <w:rPr>
      <w:color w:val="605E5C"/>
      <w:shd w:val="clear" w:color="auto" w:fill="E1DFDD"/>
    </w:rPr>
  </w:style>
  <w:style w:type="character" w:customStyle="1" w:styleId="UnresolvedMention">
    <w:name w:val="Unresolved Mention"/>
    <w:basedOn w:val="DefaultParagraphFont"/>
    <w:uiPriority w:val="99"/>
    <w:semiHidden/>
    <w:unhideWhenUsed/>
    <w:rsid w:val="00484660"/>
    <w:rPr>
      <w:color w:val="605E5C"/>
      <w:shd w:val="clear" w:color="auto" w:fill="E1DFDD"/>
    </w:rPr>
  </w:style>
  <w:style w:type="paragraph" w:customStyle="1" w:styleId="Numberedlistpara">
    <w:name w:val="Numbered list para"/>
    <w:basedOn w:val="Normal"/>
    <w:qFormat/>
    <w:rsid w:val="006E42F9"/>
    <w:pPr>
      <w:numPr>
        <w:numId w:val="16"/>
      </w:numPr>
      <w:spacing w:line="260" w:lineRule="atLeast"/>
      <w:ind w:left="425" w:hanging="425"/>
    </w:pPr>
    <w:rPr>
      <w:szCs w:val="22"/>
    </w:rPr>
  </w:style>
  <w:style w:type="paragraph" w:styleId="NoSpacing">
    <w:name w:val="No Spacing"/>
    <w:uiPriority w:val="1"/>
    <w:qFormat/>
    <w:rsid w:val="00414BEF"/>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002">
      <w:bodyDiv w:val="1"/>
      <w:marLeft w:val="0"/>
      <w:marRight w:val="0"/>
      <w:marTop w:val="0"/>
      <w:marBottom w:val="0"/>
      <w:divBdr>
        <w:top w:val="none" w:sz="0" w:space="0" w:color="auto"/>
        <w:left w:val="none" w:sz="0" w:space="0" w:color="auto"/>
        <w:bottom w:val="none" w:sz="0" w:space="0" w:color="auto"/>
        <w:right w:val="none" w:sz="0" w:space="0" w:color="auto"/>
      </w:divBdr>
      <w:divsChild>
        <w:div w:id="206570838">
          <w:marLeft w:val="360"/>
          <w:marRight w:val="0"/>
          <w:marTop w:val="0"/>
          <w:marBottom w:val="0"/>
          <w:divBdr>
            <w:top w:val="none" w:sz="0" w:space="0" w:color="auto"/>
            <w:left w:val="none" w:sz="0" w:space="0" w:color="auto"/>
            <w:bottom w:val="none" w:sz="0" w:space="0" w:color="auto"/>
            <w:right w:val="none" w:sz="0" w:space="0" w:color="auto"/>
          </w:divBdr>
        </w:div>
        <w:div w:id="1233196273">
          <w:marLeft w:val="360"/>
          <w:marRight w:val="0"/>
          <w:marTop w:val="0"/>
          <w:marBottom w:val="0"/>
          <w:divBdr>
            <w:top w:val="none" w:sz="0" w:space="0" w:color="auto"/>
            <w:left w:val="none" w:sz="0" w:space="0" w:color="auto"/>
            <w:bottom w:val="none" w:sz="0" w:space="0" w:color="auto"/>
            <w:right w:val="none" w:sz="0" w:space="0" w:color="auto"/>
          </w:divBdr>
        </w:div>
        <w:div w:id="1742170423">
          <w:marLeft w:val="360"/>
          <w:marRight w:val="0"/>
          <w:marTop w:val="0"/>
          <w:marBottom w:val="0"/>
          <w:divBdr>
            <w:top w:val="none" w:sz="0" w:space="0" w:color="auto"/>
            <w:left w:val="none" w:sz="0" w:space="0" w:color="auto"/>
            <w:bottom w:val="none" w:sz="0" w:space="0" w:color="auto"/>
            <w:right w:val="none" w:sz="0" w:space="0" w:color="auto"/>
          </w:divBdr>
        </w:div>
      </w:divsChild>
    </w:div>
    <w:div w:id="85931926">
      <w:bodyDiv w:val="1"/>
      <w:marLeft w:val="0"/>
      <w:marRight w:val="0"/>
      <w:marTop w:val="0"/>
      <w:marBottom w:val="0"/>
      <w:divBdr>
        <w:top w:val="none" w:sz="0" w:space="0" w:color="auto"/>
        <w:left w:val="none" w:sz="0" w:space="0" w:color="auto"/>
        <w:bottom w:val="none" w:sz="0" w:space="0" w:color="auto"/>
        <w:right w:val="none" w:sz="0" w:space="0" w:color="auto"/>
      </w:divBdr>
    </w:div>
    <w:div w:id="167645107">
      <w:bodyDiv w:val="1"/>
      <w:marLeft w:val="0"/>
      <w:marRight w:val="0"/>
      <w:marTop w:val="0"/>
      <w:marBottom w:val="0"/>
      <w:divBdr>
        <w:top w:val="none" w:sz="0" w:space="0" w:color="auto"/>
        <w:left w:val="none" w:sz="0" w:space="0" w:color="auto"/>
        <w:bottom w:val="none" w:sz="0" w:space="0" w:color="auto"/>
        <w:right w:val="none" w:sz="0" w:space="0" w:color="auto"/>
      </w:divBdr>
    </w:div>
    <w:div w:id="230576449">
      <w:bodyDiv w:val="1"/>
      <w:marLeft w:val="0"/>
      <w:marRight w:val="0"/>
      <w:marTop w:val="0"/>
      <w:marBottom w:val="0"/>
      <w:divBdr>
        <w:top w:val="none" w:sz="0" w:space="0" w:color="auto"/>
        <w:left w:val="none" w:sz="0" w:space="0" w:color="auto"/>
        <w:bottom w:val="none" w:sz="0" w:space="0" w:color="auto"/>
        <w:right w:val="none" w:sz="0" w:space="0" w:color="auto"/>
      </w:divBdr>
    </w:div>
    <w:div w:id="536313735">
      <w:bodyDiv w:val="1"/>
      <w:marLeft w:val="0"/>
      <w:marRight w:val="0"/>
      <w:marTop w:val="0"/>
      <w:marBottom w:val="0"/>
      <w:divBdr>
        <w:top w:val="none" w:sz="0" w:space="0" w:color="auto"/>
        <w:left w:val="none" w:sz="0" w:space="0" w:color="auto"/>
        <w:bottom w:val="none" w:sz="0" w:space="0" w:color="auto"/>
        <w:right w:val="none" w:sz="0" w:space="0" w:color="auto"/>
      </w:divBdr>
    </w:div>
    <w:div w:id="625893528">
      <w:bodyDiv w:val="1"/>
      <w:marLeft w:val="0"/>
      <w:marRight w:val="0"/>
      <w:marTop w:val="0"/>
      <w:marBottom w:val="0"/>
      <w:divBdr>
        <w:top w:val="none" w:sz="0" w:space="0" w:color="auto"/>
        <w:left w:val="none" w:sz="0" w:space="0" w:color="auto"/>
        <w:bottom w:val="none" w:sz="0" w:space="0" w:color="auto"/>
        <w:right w:val="none" w:sz="0" w:space="0" w:color="auto"/>
      </w:divBdr>
    </w:div>
    <w:div w:id="783698781">
      <w:bodyDiv w:val="1"/>
      <w:marLeft w:val="0"/>
      <w:marRight w:val="0"/>
      <w:marTop w:val="0"/>
      <w:marBottom w:val="0"/>
      <w:divBdr>
        <w:top w:val="none" w:sz="0" w:space="0" w:color="auto"/>
        <w:left w:val="none" w:sz="0" w:space="0" w:color="auto"/>
        <w:bottom w:val="none" w:sz="0" w:space="0" w:color="auto"/>
        <w:right w:val="none" w:sz="0" w:space="0" w:color="auto"/>
      </w:divBdr>
    </w:div>
    <w:div w:id="805590724">
      <w:bodyDiv w:val="1"/>
      <w:marLeft w:val="0"/>
      <w:marRight w:val="0"/>
      <w:marTop w:val="0"/>
      <w:marBottom w:val="0"/>
      <w:divBdr>
        <w:top w:val="none" w:sz="0" w:space="0" w:color="auto"/>
        <w:left w:val="none" w:sz="0" w:space="0" w:color="auto"/>
        <w:bottom w:val="none" w:sz="0" w:space="0" w:color="auto"/>
        <w:right w:val="none" w:sz="0" w:space="0" w:color="auto"/>
      </w:divBdr>
    </w:div>
    <w:div w:id="832067974">
      <w:bodyDiv w:val="1"/>
      <w:marLeft w:val="0"/>
      <w:marRight w:val="0"/>
      <w:marTop w:val="0"/>
      <w:marBottom w:val="0"/>
      <w:divBdr>
        <w:top w:val="none" w:sz="0" w:space="0" w:color="auto"/>
        <w:left w:val="none" w:sz="0" w:space="0" w:color="auto"/>
        <w:bottom w:val="none" w:sz="0" w:space="0" w:color="auto"/>
        <w:right w:val="none" w:sz="0" w:space="0" w:color="auto"/>
      </w:divBdr>
    </w:div>
    <w:div w:id="849025846">
      <w:bodyDiv w:val="1"/>
      <w:marLeft w:val="0"/>
      <w:marRight w:val="0"/>
      <w:marTop w:val="0"/>
      <w:marBottom w:val="0"/>
      <w:divBdr>
        <w:top w:val="none" w:sz="0" w:space="0" w:color="auto"/>
        <w:left w:val="none" w:sz="0" w:space="0" w:color="auto"/>
        <w:bottom w:val="none" w:sz="0" w:space="0" w:color="auto"/>
        <w:right w:val="none" w:sz="0" w:space="0" w:color="auto"/>
      </w:divBdr>
    </w:div>
    <w:div w:id="932931468">
      <w:bodyDiv w:val="1"/>
      <w:marLeft w:val="0"/>
      <w:marRight w:val="0"/>
      <w:marTop w:val="0"/>
      <w:marBottom w:val="0"/>
      <w:divBdr>
        <w:top w:val="none" w:sz="0" w:space="0" w:color="auto"/>
        <w:left w:val="none" w:sz="0" w:space="0" w:color="auto"/>
        <w:bottom w:val="none" w:sz="0" w:space="0" w:color="auto"/>
        <w:right w:val="none" w:sz="0" w:space="0" w:color="auto"/>
      </w:divBdr>
      <w:divsChild>
        <w:div w:id="499541841">
          <w:marLeft w:val="720"/>
          <w:marRight w:val="0"/>
          <w:marTop w:val="0"/>
          <w:marBottom w:val="0"/>
          <w:divBdr>
            <w:top w:val="none" w:sz="0" w:space="0" w:color="auto"/>
            <w:left w:val="none" w:sz="0" w:space="0" w:color="auto"/>
            <w:bottom w:val="none" w:sz="0" w:space="0" w:color="auto"/>
            <w:right w:val="none" w:sz="0" w:space="0" w:color="auto"/>
          </w:divBdr>
        </w:div>
        <w:div w:id="918564247">
          <w:marLeft w:val="720"/>
          <w:marRight w:val="0"/>
          <w:marTop w:val="0"/>
          <w:marBottom w:val="0"/>
          <w:divBdr>
            <w:top w:val="none" w:sz="0" w:space="0" w:color="auto"/>
            <w:left w:val="none" w:sz="0" w:space="0" w:color="auto"/>
            <w:bottom w:val="none" w:sz="0" w:space="0" w:color="auto"/>
            <w:right w:val="none" w:sz="0" w:space="0" w:color="auto"/>
          </w:divBdr>
        </w:div>
        <w:div w:id="945624500">
          <w:marLeft w:val="720"/>
          <w:marRight w:val="0"/>
          <w:marTop w:val="0"/>
          <w:marBottom w:val="0"/>
          <w:divBdr>
            <w:top w:val="none" w:sz="0" w:space="0" w:color="auto"/>
            <w:left w:val="none" w:sz="0" w:space="0" w:color="auto"/>
            <w:bottom w:val="none" w:sz="0" w:space="0" w:color="auto"/>
            <w:right w:val="none" w:sz="0" w:space="0" w:color="auto"/>
          </w:divBdr>
        </w:div>
        <w:div w:id="1600528135">
          <w:marLeft w:val="720"/>
          <w:marRight w:val="0"/>
          <w:marTop w:val="0"/>
          <w:marBottom w:val="0"/>
          <w:divBdr>
            <w:top w:val="none" w:sz="0" w:space="0" w:color="auto"/>
            <w:left w:val="none" w:sz="0" w:space="0" w:color="auto"/>
            <w:bottom w:val="none" w:sz="0" w:space="0" w:color="auto"/>
            <w:right w:val="none" w:sz="0" w:space="0" w:color="auto"/>
          </w:divBdr>
        </w:div>
        <w:div w:id="1723484686">
          <w:marLeft w:val="720"/>
          <w:marRight w:val="0"/>
          <w:marTop w:val="0"/>
          <w:marBottom w:val="0"/>
          <w:divBdr>
            <w:top w:val="none" w:sz="0" w:space="0" w:color="auto"/>
            <w:left w:val="none" w:sz="0" w:space="0" w:color="auto"/>
            <w:bottom w:val="none" w:sz="0" w:space="0" w:color="auto"/>
            <w:right w:val="none" w:sz="0" w:space="0" w:color="auto"/>
          </w:divBdr>
        </w:div>
      </w:divsChild>
    </w:div>
    <w:div w:id="1084304734">
      <w:bodyDiv w:val="1"/>
      <w:marLeft w:val="0"/>
      <w:marRight w:val="0"/>
      <w:marTop w:val="0"/>
      <w:marBottom w:val="0"/>
      <w:divBdr>
        <w:top w:val="none" w:sz="0" w:space="0" w:color="auto"/>
        <w:left w:val="none" w:sz="0" w:space="0" w:color="auto"/>
        <w:bottom w:val="none" w:sz="0" w:space="0" w:color="auto"/>
        <w:right w:val="none" w:sz="0" w:space="0" w:color="auto"/>
      </w:divBdr>
    </w:div>
    <w:div w:id="1106274529">
      <w:marLeft w:val="0"/>
      <w:marRight w:val="0"/>
      <w:marTop w:val="0"/>
      <w:marBottom w:val="0"/>
      <w:divBdr>
        <w:top w:val="none" w:sz="0" w:space="0" w:color="auto"/>
        <w:left w:val="none" w:sz="0" w:space="0" w:color="auto"/>
        <w:bottom w:val="none" w:sz="0" w:space="0" w:color="auto"/>
        <w:right w:val="none" w:sz="0" w:space="0" w:color="auto"/>
      </w:divBdr>
      <w:divsChild>
        <w:div w:id="1106274553">
          <w:marLeft w:val="0"/>
          <w:marRight w:val="0"/>
          <w:marTop w:val="0"/>
          <w:marBottom w:val="0"/>
          <w:divBdr>
            <w:top w:val="none" w:sz="0" w:space="0" w:color="auto"/>
            <w:left w:val="none" w:sz="0" w:space="0" w:color="auto"/>
            <w:bottom w:val="none" w:sz="0" w:space="0" w:color="auto"/>
            <w:right w:val="none" w:sz="0" w:space="0" w:color="auto"/>
          </w:divBdr>
          <w:divsChild>
            <w:div w:id="1106274562">
              <w:marLeft w:val="0"/>
              <w:marRight w:val="0"/>
              <w:marTop w:val="0"/>
              <w:marBottom w:val="0"/>
              <w:divBdr>
                <w:top w:val="none" w:sz="0" w:space="0" w:color="auto"/>
                <w:left w:val="none" w:sz="0" w:space="0" w:color="auto"/>
                <w:bottom w:val="none" w:sz="0" w:space="0" w:color="auto"/>
                <w:right w:val="none" w:sz="0" w:space="0" w:color="auto"/>
              </w:divBdr>
              <w:divsChild>
                <w:div w:id="1106274552">
                  <w:marLeft w:val="0"/>
                  <w:marRight w:val="0"/>
                  <w:marTop w:val="0"/>
                  <w:marBottom w:val="0"/>
                  <w:divBdr>
                    <w:top w:val="none" w:sz="0" w:space="0" w:color="auto"/>
                    <w:left w:val="none" w:sz="0" w:space="0" w:color="auto"/>
                    <w:bottom w:val="none" w:sz="0" w:space="0" w:color="auto"/>
                    <w:right w:val="none" w:sz="0" w:space="0" w:color="auto"/>
                  </w:divBdr>
                  <w:divsChild>
                    <w:div w:id="1106274558">
                      <w:marLeft w:val="0"/>
                      <w:marRight w:val="0"/>
                      <w:marTop w:val="0"/>
                      <w:marBottom w:val="0"/>
                      <w:divBdr>
                        <w:top w:val="none" w:sz="0" w:space="0" w:color="auto"/>
                        <w:left w:val="none" w:sz="0" w:space="0" w:color="auto"/>
                        <w:bottom w:val="none" w:sz="0" w:space="0" w:color="auto"/>
                        <w:right w:val="none" w:sz="0" w:space="0" w:color="auto"/>
                      </w:divBdr>
                      <w:divsChild>
                        <w:div w:id="1106274571">
                          <w:marLeft w:val="0"/>
                          <w:marRight w:val="0"/>
                          <w:marTop w:val="0"/>
                          <w:marBottom w:val="0"/>
                          <w:divBdr>
                            <w:top w:val="none" w:sz="0" w:space="0" w:color="auto"/>
                            <w:left w:val="none" w:sz="0" w:space="0" w:color="auto"/>
                            <w:bottom w:val="none" w:sz="0" w:space="0" w:color="auto"/>
                            <w:right w:val="none" w:sz="0" w:space="0" w:color="auto"/>
                          </w:divBdr>
                          <w:divsChild>
                            <w:div w:id="1106274570">
                              <w:marLeft w:val="0"/>
                              <w:marRight w:val="0"/>
                              <w:marTop w:val="0"/>
                              <w:marBottom w:val="0"/>
                              <w:divBdr>
                                <w:top w:val="none" w:sz="0" w:space="0" w:color="auto"/>
                                <w:left w:val="none" w:sz="0" w:space="0" w:color="auto"/>
                                <w:bottom w:val="none" w:sz="0" w:space="0" w:color="auto"/>
                                <w:right w:val="none" w:sz="0" w:space="0" w:color="auto"/>
                              </w:divBdr>
                              <w:divsChild>
                                <w:div w:id="1106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31">
      <w:marLeft w:val="0"/>
      <w:marRight w:val="0"/>
      <w:marTop w:val="0"/>
      <w:marBottom w:val="0"/>
      <w:divBdr>
        <w:top w:val="none" w:sz="0" w:space="0" w:color="auto"/>
        <w:left w:val="none" w:sz="0" w:space="0" w:color="auto"/>
        <w:bottom w:val="none" w:sz="0" w:space="0" w:color="auto"/>
        <w:right w:val="none" w:sz="0" w:space="0" w:color="auto"/>
      </w:divBdr>
    </w:div>
    <w:div w:id="1106274535">
      <w:marLeft w:val="0"/>
      <w:marRight w:val="0"/>
      <w:marTop w:val="0"/>
      <w:marBottom w:val="0"/>
      <w:divBdr>
        <w:top w:val="none" w:sz="0" w:space="0" w:color="auto"/>
        <w:left w:val="none" w:sz="0" w:space="0" w:color="auto"/>
        <w:bottom w:val="none" w:sz="0" w:space="0" w:color="auto"/>
        <w:right w:val="none" w:sz="0" w:space="0" w:color="auto"/>
      </w:divBdr>
      <w:divsChild>
        <w:div w:id="1106274606">
          <w:marLeft w:val="0"/>
          <w:marRight w:val="0"/>
          <w:marTop w:val="0"/>
          <w:marBottom w:val="0"/>
          <w:divBdr>
            <w:top w:val="none" w:sz="0" w:space="0" w:color="auto"/>
            <w:left w:val="none" w:sz="0" w:space="0" w:color="auto"/>
            <w:bottom w:val="none" w:sz="0" w:space="0" w:color="auto"/>
            <w:right w:val="none" w:sz="0" w:space="0" w:color="auto"/>
          </w:divBdr>
          <w:divsChild>
            <w:div w:id="1106274612">
              <w:marLeft w:val="0"/>
              <w:marRight w:val="0"/>
              <w:marTop w:val="0"/>
              <w:marBottom w:val="0"/>
              <w:divBdr>
                <w:top w:val="none" w:sz="0" w:space="0" w:color="auto"/>
                <w:left w:val="none" w:sz="0" w:space="0" w:color="auto"/>
                <w:bottom w:val="none" w:sz="0" w:space="0" w:color="auto"/>
                <w:right w:val="none" w:sz="0" w:space="0" w:color="auto"/>
              </w:divBdr>
              <w:divsChild>
                <w:div w:id="1106274583">
                  <w:marLeft w:val="0"/>
                  <w:marRight w:val="0"/>
                  <w:marTop w:val="0"/>
                  <w:marBottom w:val="0"/>
                  <w:divBdr>
                    <w:top w:val="none" w:sz="0" w:space="0" w:color="auto"/>
                    <w:left w:val="none" w:sz="0" w:space="0" w:color="auto"/>
                    <w:bottom w:val="none" w:sz="0" w:space="0" w:color="auto"/>
                    <w:right w:val="none" w:sz="0" w:space="0" w:color="auto"/>
                  </w:divBdr>
                  <w:divsChild>
                    <w:div w:id="1106274601">
                      <w:marLeft w:val="0"/>
                      <w:marRight w:val="0"/>
                      <w:marTop w:val="0"/>
                      <w:marBottom w:val="0"/>
                      <w:divBdr>
                        <w:top w:val="none" w:sz="0" w:space="0" w:color="auto"/>
                        <w:left w:val="none" w:sz="0" w:space="0" w:color="auto"/>
                        <w:bottom w:val="none" w:sz="0" w:space="0" w:color="auto"/>
                        <w:right w:val="none" w:sz="0" w:space="0" w:color="auto"/>
                      </w:divBdr>
                      <w:divsChild>
                        <w:div w:id="1106274603">
                          <w:marLeft w:val="0"/>
                          <w:marRight w:val="0"/>
                          <w:marTop w:val="0"/>
                          <w:marBottom w:val="0"/>
                          <w:divBdr>
                            <w:top w:val="none" w:sz="0" w:space="0" w:color="auto"/>
                            <w:left w:val="none" w:sz="0" w:space="0" w:color="auto"/>
                            <w:bottom w:val="none" w:sz="0" w:space="0" w:color="auto"/>
                            <w:right w:val="none" w:sz="0" w:space="0" w:color="auto"/>
                          </w:divBdr>
                          <w:divsChild>
                            <w:div w:id="1106274572">
                              <w:marLeft w:val="0"/>
                              <w:marRight w:val="0"/>
                              <w:marTop w:val="0"/>
                              <w:marBottom w:val="0"/>
                              <w:divBdr>
                                <w:top w:val="none" w:sz="0" w:space="0" w:color="auto"/>
                                <w:left w:val="none" w:sz="0" w:space="0" w:color="auto"/>
                                <w:bottom w:val="none" w:sz="0" w:space="0" w:color="auto"/>
                                <w:right w:val="none" w:sz="0" w:space="0" w:color="auto"/>
                              </w:divBdr>
                              <w:divsChild>
                                <w:div w:id="11062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36">
      <w:marLeft w:val="0"/>
      <w:marRight w:val="0"/>
      <w:marTop w:val="0"/>
      <w:marBottom w:val="0"/>
      <w:divBdr>
        <w:top w:val="none" w:sz="0" w:space="0" w:color="auto"/>
        <w:left w:val="none" w:sz="0" w:space="0" w:color="auto"/>
        <w:bottom w:val="none" w:sz="0" w:space="0" w:color="auto"/>
        <w:right w:val="none" w:sz="0" w:space="0" w:color="auto"/>
      </w:divBdr>
    </w:div>
    <w:div w:id="1106274537">
      <w:marLeft w:val="0"/>
      <w:marRight w:val="0"/>
      <w:marTop w:val="0"/>
      <w:marBottom w:val="0"/>
      <w:divBdr>
        <w:top w:val="none" w:sz="0" w:space="0" w:color="auto"/>
        <w:left w:val="none" w:sz="0" w:space="0" w:color="auto"/>
        <w:bottom w:val="none" w:sz="0" w:space="0" w:color="auto"/>
        <w:right w:val="none" w:sz="0" w:space="0" w:color="auto"/>
      </w:divBdr>
      <w:divsChild>
        <w:div w:id="1106274550">
          <w:marLeft w:val="547"/>
          <w:marRight w:val="0"/>
          <w:marTop w:val="96"/>
          <w:marBottom w:val="0"/>
          <w:divBdr>
            <w:top w:val="none" w:sz="0" w:space="0" w:color="auto"/>
            <w:left w:val="none" w:sz="0" w:space="0" w:color="auto"/>
            <w:bottom w:val="none" w:sz="0" w:space="0" w:color="auto"/>
            <w:right w:val="none" w:sz="0" w:space="0" w:color="auto"/>
          </w:divBdr>
        </w:div>
      </w:divsChild>
    </w:div>
    <w:div w:id="1106274538">
      <w:marLeft w:val="0"/>
      <w:marRight w:val="0"/>
      <w:marTop w:val="0"/>
      <w:marBottom w:val="0"/>
      <w:divBdr>
        <w:top w:val="none" w:sz="0" w:space="0" w:color="auto"/>
        <w:left w:val="none" w:sz="0" w:space="0" w:color="auto"/>
        <w:bottom w:val="none" w:sz="0" w:space="0" w:color="auto"/>
        <w:right w:val="none" w:sz="0" w:space="0" w:color="auto"/>
      </w:divBdr>
      <w:divsChild>
        <w:div w:id="1106274554">
          <w:marLeft w:val="0"/>
          <w:marRight w:val="0"/>
          <w:marTop w:val="0"/>
          <w:marBottom w:val="0"/>
          <w:divBdr>
            <w:top w:val="none" w:sz="0" w:space="0" w:color="auto"/>
            <w:left w:val="none" w:sz="0" w:space="0" w:color="auto"/>
            <w:bottom w:val="none" w:sz="0" w:space="0" w:color="auto"/>
            <w:right w:val="none" w:sz="0" w:space="0" w:color="auto"/>
          </w:divBdr>
          <w:divsChild>
            <w:div w:id="1106274597">
              <w:marLeft w:val="0"/>
              <w:marRight w:val="0"/>
              <w:marTop w:val="0"/>
              <w:marBottom w:val="0"/>
              <w:divBdr>
                <w:top w:val="none" w:sz="0" w:space="0" w:color="auto"/>
                <w:left w:val="none" w:sz="0" w:space="0" w:color="auto"/>
                <w:bottom w:val="none" w:sz="0" w:space="0" w:color="auto"/>
                <w:right w:val="none" w:sz="0" w:space="0" w:color="auto"/>
              </w:divBdr>
              <w:divsChild>
                <w:div w:id="1106274557">
                  <w:marLeft w:val="0"/>
                  <w:marRight w:val="0"/>
                  <w:marTop w:val="0"/>
                  <w:marBottom w:val="0"/>
                  <w:divBdr>
                    <w:top w:val="none" w:sz="0" w:space="0" w:color="auto"/>
                    <w:left w:val="none" w:sz="0" w:space="0" w:color="auto"/>
                    <w:bottom w:val="none" w:sz="0" w:space="0" w:color="auto"/>
                    <w:right w:val="none" w:sz="0" w:space="0" w:color="auto"/>
                  </w:divBdr>
                  <w:divsChild>
                    <w:div w:id="1106274567">
                      <w:marLeft w:val="0"/>
                      <w:marRight w:val="0"/>
                      <w:marTop w:val="0"/>
                      <w:marBottom w:val="0"/>
                      <w:divBdr>
                        <w:top w:val="none" w:sz="0" w:space="0" w:color="auto"/>
                        <w:left w:val="none" w:sz="0" w:space="0" w:color="auto"/>
                        <w:bottom w:val="none" w:sz="0" w:space="0" w:color="auto"/>
                        <w:right w:val="none" w:sz="0" w:space="0" w:color="auto"/>
                      </w:divBdr>
                      <w:divsChild>
                        <w:div w:id="1106274533">
                          <w:marLeft w:val="0"/>
                          <w:marRight w:val="0"/>
                          <w:marTop w:val="0"/>
                          <w:marBottom w:val="0"/>
                          <w:divBdr>
                            <w:top w:val="none" w:sz="0" w:space="0" w:color="auto"/>
                            <w:left w:val="none" w:sz="0" w:space="0" w:color="auto"/>
                            <w:bottom w:val="none" w:sz="0" w:space="0" w:color="auto"/>
                            <w:right w:val="none" w:sz="0" w:space="0" w:color="auto"/>
                          </w:divBdr>
                          <w:divsChild>
                            <w:div w:id="1106274532">
                              <w:marLeft w:val="0"/>
                              <w:marRight w:val="0"/>
                              <w:marTop w:val="0"/>
                              <w:marBottom w:val="0"/>
                              <w:divBdr>
                                <w:top w:val="none" w:sz="0" w:space="0" w:color="auto"/>
                                <w:left w:val="none" w:sz="0" w:space="0" w:color="auto"/>
                                <w:bottom w:val="none" w:sz="0" w:space="0" w:color="auto"/>
                                <w:right w:val="none" w:sz="0" w:space="0" w:color="auto"/>
                              </w:divBdr>
                              <w:divsChild>
                                <w:div w:id="1106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40">
      <w:marLeft w:val="0"/>
      <w:marRight w:val="0"/>
      <w:marTop w:val="0"/>
      <w:marBottom w:val="0"/>
      <w:divBdr>
        <w:top w:val="none" w:sz="0" w:space="0" w:color="auto"/>
        <w:left w:val="none" w:sz="0" w:space="0" w:color="auto"/>
        <w:bottom w:val="none" w:sz="0" w:space="0" w:color="auto"/>
        <w:right w:val="none" w:sz="0" w:space="0" w:color="auto"/>
      </w:divBdr>
    </w:div>
    <w:div w:id="1106274548">
      <w:marLeft w:val="0"/>
      <w:marRight w:val="0"/>
      <w:marTop w:val="0"/>
      <w:marBottom w:val="0"/>
      <w:divBdr>
        <w:top w:val="none" w:sz="0" w:space="0" w:color="auto"/>
        <w:left w:val="none" w:sz="0" w:space="0" w:color="auto"/>
        <w:bottom w:val="none" w:sz="0" w:space="0" w:color="auto"/>
        <w:right w:val="none" w:sz="0" w:space="0" w:color="auto"/>
      </w:divBdr>
      <w:divsChild>
        <w:div w:id="1106274593">
          <w:marLeft w:val="0"/>
          <w:marRight w:val="0"/>
          <w:marTop w:val="0"/>
          <w:marBottom w:val="0"/>
          <w:divBdr>
            <w:top w:val="none" w:sz="0" w:space="0" w:color="auto"/>
            <w:left w:val="none" w:sz="0" w:space="0" w:color="auto"/>
            <w:bottom w:val="none" w:sz="0" w:space="0" w:color="auto"/>
            <w:right w:val="none" w:sz="0" w:space="0" w:color="auto"/>
          </w:divBdr>
          <w:divsChild>
            <w:div w:id="1106274546">
              <w:marLeft w:val="0"/>
              <w:marRight w:val="0"/>
              <w:marTop w:val="0"/>
              <w:marBottom w:val="0"/>
              <w:divBdr>
                <w:top w:val="none" w:sz="0" w:space="0" w:color="auto"/>
                <w:left w:val="none" w:sz="0" w:space="0" w:color="auto"/>
                <w:bottom w:val="none" w:sz="0" w:space="0" w:color="auto"/>
                <w:right w:val="none" w:sz="0" w:space="0" w:color="auto"/>
              </w:divBdr>
              <w:divsChild>
                <w:div w:id="1106274568">
                  <w:marLeft w:val="0"/>
                  <w:marRight w:val="0"/>
                  <w:marTop w:val="0"/>
                  <w:marBottom w:val="0"/>
                  <w:divBdr>
                    <w:top w:val="none" w:sz="0" w:space="0" w:color="auto"/>
                    <w:left w:val="none" w:sz="0" w:space="0" w:color="auto"/>
                    <w:bottom w:val="none" w:sz="0" w:space="0" w:color="auto"/>
                    <w:right w:val="none" w:sz="0" w:space="0" w:color="auto"/>
                  </w:divBdr>
                  <w:divsChild>
                    <w:div w:id="1106274543">
                      <w:marLeft w:val="0"/>
                      <w:marRight w:val="0"/>
                      <w:marTop w:val="0"/>
                      <w:marBottom w:val="0"/>
                      <w:divBdr>
                        <w:top w:val="none" w:sz="0" w:space="0" w:color="auto"/>
                        <w:left w:val="none" w:sz="0" w:space="0" w:color="auto"/>
                        <w:bottom w:val="none" w:sz="0" w:space="0" w:color="auto"/>
                        <w:right w:val="none" w:sz="0" w:space="0" w:color="auto"/>
                      </w:divBdr>
                      <w:divsChild>
                        <w:div w:id="1106274579">
                          <w:marLeft w:val="0"/>
                          <w:marRight w:val="0"/>
                          <w:marTop w:val="0"/>
                          <w:marBottom w:val="0"/>
                          <w:divBdr>
                            <w:top w:val="none" w:sz="0" w:space="0" w:color="auto"/>
                            <w:left w:val="none" w:sz="0" w:space="0" w:color="auto"/>
                            <w:bottom w:val="none" w:sz="0" w:space="0" w:color="auto"/>
                            <w:right w:val="none" w:sz="0" w:space="0" w:color="auto"/>
                          </w:divBdr>
                          <w:divsChild>
                            <w:div w:id="1106274576">
                              <w:marLeft w:val="0"/>
                              <w:marRight w:val="0"/>
                              <w:marTop w:val="0"/>
                              <w:marBottom w:val="0"/>
                              <w:divBdr>
                                <w:top w:val="none" w:sz="0" w:space="0" w:color="auto"/>
                                <w:left w:val="none" w:sz="0" w:space="0" w:color="auto"/>
                                <w:bottom w:val="none" w:sz="0" w:space="0" w:color="auto"/>
                                <w:right w:val="none" w:sz="0" w:space="0" w:color="auto"/>
                              </w:divBdr>
                              <w:divsChild>
                                <w:div w:id="11062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55">
      <w:marLeft w:val="0"/>
      <w:marRight w:val="0"/>
      <w:marTop w:val="0"/>
      <w:marBottom w:val="0"/>
      <w:divBdr>
        <w:top w:val="none" w:sz="0" w:space="0" w:color="auto"/>
        <w:left w:val="none" w:sz="0" w:space="0" w:color="auto"/>
        <w:bottom w:val="none" w:sz="0" w:space="0" w:color="auto"/>
        <w:right w:val="none" w:sz="0" w:space="0" w:color="auto"/>
      </w:divBdr>
      <w:divsChild>
        <w:div w:id="1106274541">
          <w:marLeft w:val="0"/>
          <w:marRight w:val="0"/>
          <w:marTop w:val="0"/>
          <w:marBottom w:val="0"/>
          <w:divBdr>
            <w:top w:val="none" w:sz="0" w:space="0" w:color="auto"/>
            <w:left w:val="none" w:sz="0" w:space="0" w:color="auto"/>
            <w:bottom w:val="none" w:sz="0" w:space="0" w:color="auto"/>
            <w:right w:val="none" w:sz="0" w:space="0" w:color="auto"/>
          </w:divBdr>
          <w:divsChild>
            <w:div w:id="1106274602">
              <w:marLeft w:val="0"/>
              <w:marRight w:val="0"/>
              <w:marTop w:val="0"/>
              <w:marBottom w:val="0"/>
              <w:divBdr>
                <w:top w:val="none" w:sz="0" w:space="0" w:color="auto"/>
                <w:left w:val="none" w:sz="0" w:space="0" w:color="auto"/>
                <w:bottom w:val="none" w:sz="0" w:space="0" w:color="auto"/>
                <w:right w:val="none" w:sz="0" w:space="0" w:color="auto"/>
              </w:divBdr>
              <w:divsChild>
                <w:div w:id="1106274611">
                  <w:marLeft w:val="0"/>
                  <w:marRight w:val="0"/>
                  <w:marTop w:val="0"/>
                  <w:marBottom w:val="0"/>
                  <w:divBdr>
                    <w:top w:val="none" w:sz="0" w:space="0" w:color="auto"/>
                    <w:left w:val="none" w:sz="0" w:space="0" w:color="auto"/>
                    <w:bottom w:val="none" w:sz="0" w:space="0" w:color="auto"/>
                    <w:right w:val="none" w:sz="0" w:space="0" w:color="auto"/>
                  </w:divBdr>
                  <w:divsChild>
                    <w:div w:id="1106274590">
                      <w:marLeft w:val="0"/>
                      <w:marRight w:val="0"/>
                      <w:marTop w:val="0"/>
                      <w:marBottom w:val="0"/>
                      <w:divBdr>
                        <w:top w:val="none" w:sz="0" w:space="0" w:color="auto"/>
                        <w:left w:val="none" w:sz="0" w:space="0" w:color="auto"/>
                        <w:bottom w:val="none" w:sz="0" w:space="0" w:color="auto"/>
                        <w:right w:val="none" w:sz="0" w:space="0" w:color="auto"/>
                      </w:divBdr>
                      <w:divsChild>
                        <w:div w:id="1106274613">
                          <w:marLeft w:val="0"/>
                          <w:marRight w:val="0"/>
                          <w:marTop w:val="0"/>
                          <w:marBottom w:val="0"/>
                          <w:divBdr>
                            <w:top w:val="none" w:sz="0" w:space="0" w:color="auto"/>
                            <w:left w:val="none" w:sz="0" w:space="0" w:color="auto"/>
                            <w:bottom w:val="none" w:sz="0" w:space="0" w:color="auto"/>
                            <w:right w:val="none" w:sz="0" w:space="0" w:color="auto"/>
                          </w:divBdr>
                          <w:divsChild>
                            <w:div w:id="1106274604">
                              <w:marLeft w:val="0"/>
                              <w:marRight w:val="0"/>
                              <w:marTop w:val="0"/>
                              <w:marBottom w:val="0"/>
                              <w:divBdr>
                                <w:top w:val="none" w:sz="0" w:space="0" w:color="auto"/>
                                <w:left w:val="none" w:sz="0" w:space="0" w:color="auto"/>
                                <w:bottom w:val="none" w:sz="0" w:space="0" w:color="auto"/>
                                <w:right w:val="none" w:sz="0" w:space="0" w:color="auto"/>
                              </w:divBdr>
                              <w:divsChild>
                                <w:div w:id="11062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56">
      <w:marLeft w:val="0"/>
      <w:marRight w:val="0"/>
      <w:marTop w:val="0"/>
      <w:marBottom w:val="0"/>
      <w:divBdr>
        <w:top w:val="none" w:sz="0" w:space="0" w:color="auto"/>
        <w:left w:val="none" w:sz="0" w:space="0" w:color="auto"/>
        <w:bottom w:val="none" w:sz="0" w:space="0" w:color="auto"/>
        <w:right w:val="none" w:sz="0" w:space="0" w:color="auto"/>
      </w:divBdr>
      <w:divsChild>
        <w:div w:id="1106274563">
          <w:marLeft w:val="547"/>
          <w:marRight w:val="0"/>
          <w:marTop w:val="67"/>
          <w:marBottom w:val="0"/>
          <w:divBdr>
            <w:top w:val="none" w:sz="0" w:space="0" w:color="auto"/>
            <w:left w:val="none" w:sz="0" w:space="0" w:color="auto"/>
            <w:bottom w:val="none" w:sz="0" w:space="0" w:color="auto"/>
            <w:right w:val="none" w:sz="0" w:space="0" w:color="auto"/>
          </w:divBdr>
        </w:div>
        <w:div w:id="1106274591">
          <w:marLeft w:val="547"/>
          <w:marRight w:val="0"/>
          <w:marTop w:val="67"/>
          <w:marBottom w:val="0"/>
          <w:divBdr>
            <w:top w:val="none" w:sz="0" w:space="0" w:color="auto"/>
            <w:left w:val="none" w:sz="0" w:space="0" w:color="auto"/>
            <w:bottom w:val="none" w:sz="0" w:space="0" w:color="auto"/>
            <w:right w:val="none" w:sz="0" w:space="0" w:color="auto"/>
          </w:divBdr>
        </w:div>
        <w:div w:id="1106274608">
          <w:marLeft w:val="547"/>
          <w:marRight w:val="0"/>
          <w:marTop w:val="67"/>
          <w:marBottom w:val="0"/>
          <w:divBdr>
            <w:top w:val="none" w:sz="0" w:space="0" w:color="auto"/>
            <w:left w:val="none" w:sz="0" w:space="0" w:color="auto"/>
            <w:bottom w:val="none" w:sz="0" w:space="0" w:color="auto"/>
            <w:right w:val="none" w:sz="0" w:space="0" w:color="auto"/>
          </w:divBdr>
        </w:div>
      </w:divsChild>
    </w:div>
    <w:div w:id="1106274560">
      <w:marLeft w:val="0"/>
      <w:marRight w:val="0"/>
      <w:marTop w:val="0"/>
      <w:marBottom w:val="0"/>
      <w:divBdr>
        <w:top w:val="none" w:sz="0" w:space="0" w:color="auto"/>
        <w:left w:val="none" w:sz="0" w:space="0" w:color="auto"/>
        <w:bottom w:val="none" w:sz="0" w:space="0" w:color="auto"/>
        <w:right w:val="none" w:sz="0" w:space="0" w:color="auto"/>
      </w:divBdr>
      <w:divsChild>
        <w:div w:id="1106274575">
          <w:marLeft w:val="0"/>
          <w:marRight w:val="0"/>
          <w:marTop w:val="0"/>
          <w:marBottom w:val="0"/>
          <w:divBdr>
            <w:top w:val="none" w:sz="0" w:space="0" w:color="auto"/>
            <w:left w:val="none" w:sz="0" w:space="0" w:color="auto"/>
            <w:bottom w:val="none" w:sz="0" w:space="0" w:color="auto"/>
            <w:right w:val="none" w:sz="0" w:space="0" w:color="auto"/>
          </w:divBdr>
          <w:divsChild>
            <w:div w:id="1106274607">
              <w:marLeft w:val="0"/>
              <w:marRight w:val="0"/>
              <w:marTop w:val="0"/>
              <w:marBottom w:val="0"/>
              <w:divBdr>
                <w:top w:val="none" w:sz="0" w:space="0" w:color="auto"/>
                <w:left w:val="none" w:sz="0" w:space="0" w:color="auto"/>
                <w:bottom w:val="none" w:sz="0" w:space="0" w:color="auto"/>
                <w:right w:val="none" w:sz="0" w:space="0" w:color="auto"/>
              </w:divBdr>
              <w:divsChild>
                <w:div w:id="1106274569">
                  <w:marLeft w:val="0"/>
                  <w:marRight w:val="0"/>
                  <w:marTop w:val="0"/>
                  <w:marBottom w:val="0"/>
                  <w:divBdr>
                    <w:top w:val="none" w:sz="0" w:space="0" w:color="auto"/>
                    <w:left w:val="none" w:sz="0" w:space="0" w:color="auto"/>
                    <w:bottom w:val="none" w:sz="0" w:space="0" w:color="auto"/>
                    <w:right w:val="none" w:sz="0" w:space="0" w:color="auto"/>
                  </w:divBdr>
                  <w:divsChild>
                    <w:div w:id="1106274580">
                      <w:marLeft w:val="0"/>
                      <w:marRight w:val="0"/>
                      <w:marTop w:val="0"/>
                      <w:marBottom w:val="0"/>
                      <w:divBdr>
                        <w:top w:val="none" w:sz="0" w:space="0" w:color="auto"/>
                        <w:left w:val="none" w:sz="0" w:space="0" w:color="auto"/>
                        <w:bottom w:val="none" w:sz="0" w:space="0" w:color="auto"/>
                        <w:right w:val="none" w:sz="0" w:space="0" w:color="auto"/>
                      </w:divBdr>
                      <w:divsChild>
                        <w:div w:id="1106274551">
                          <w:marLeft w:val="0"/>
                          <w:marRight w:val="0"/>
                          <w:marTop w:val="0"/>
                          <w:marBottom w:val="0"/>
                          <w:divBdr>
                            <w:top w:val="none" w:sz="0" w:space="0" w:color="auto"/>
                            <w:left w:val="none" w:sz="0" w:space="0" w:color="auto"/>
                            <w:bottom w:val="none" w:sz="0" w:space="0" w:color="auto"/>
                            <w:right w:val="none" w:sz="0" w:space="0" w:color="auto"/>
                          </w:divBdr>
                          <w:divsChild>
                            <w:div w:id="1106274530">
                              <w:marLeft w:val="0"/>
                              <w:marRight w:val="0"/>
                              <w:marTop w:val="0"/>
                              <w:marBottom w:val="0"/>
                              <w:divBdr>
                                <w:top w:val="none" w:sz="0" w:space="0" w:color="auto"/>
                                <w:left w:val="none" w:sz="0" w:space="0" w:color="auto"/>
                                <w:bottom w:val="none" w:sz="0" w:space="0" w:color="auto"/>
                                <w:right w:val="none" w:sz="0" w:space="0" w:color="auto"/>
                              </w:divBdr>
                              <w:divsChild>
                                <w:div w:id="11062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66">
      <w:marLeft w:val="0"/>
      <w:marRight w:val="0"/>
      <w:marTop w:val="0"/>
      <w:marBottom w:val="0"/>
      <w:divBdr>
        <w:top w:val="none" w:sz="0" w:space="0" w:color="auto"/>
        <w:left w:val="none" w:sz="0" w:space="0" w:color="auto"/>
        <w:bottom w:val="none" w:sz="0" w:space="0" w:color="auto"/>
        <w:right w:val="none" w:sz="0" w:space="0" w:color="auto"/>
      </w:divBdr>
    </w:div>
    <w:div w:id="1106274578">
      <w:marLeft w:val="0"/>
      <w:marRight w:val="0"/>
      <w:marTop w:val="0"/>
      <w:marBottom w:val="0"/>
      <w:divBdr>
        <w:top w:val="none" w:sz="0" w:space="0" w:color="auto"/>
        <w:left w:val="none" w:sz="0" w:space="0" w:color="auto"/>
        <w:bottom w:val="none" w:sz="0" w:space="0" w:color="auto"/>
        <w:right w:val="none" w:sz="0" w:space="0" w:color="auto"/>
      </w:divBdr>
      <w:divsChild>
        <w:div w:id="1106274589">
          <w:marLeft w:val="547"/>
          <w:marRight w:val="0"/>
          <w:marTop w:val="96"/>
          <w:marBottom w:val="0"/>
          <w:divBdr>
            <w:top w:val="none" w:sz="0" w:space="0" w:color="auto"/>
            <w:left w:val="none" w:sz="0" w:space="0" w:color="auto"/>
            <w:bottom w:val="none" w:sz="0" w:space="0" w:color="auto"/>
            <w:right w:val="none" w:sz="0" w:space="0" w:color="auto"/>
          </w:divBdr>
        </w:div>
      </w:divsChild>
    </w:div>
    <w:div w:id="1106274581">
      <w:marLeft w:val="0"/>
      <w:marRight w:val="0"/>
      <w:marTop w:val="0"/>
      <w:marBottom w:val="0"/>
      <w:divBdr>
        <w:top w:val="none" w:sz="0" w:space="0" w:color="auto"/>
        <w:left w:val="none" w:sz="0" w:space="0" w:color="auto"/>
        <w:bottom w:val="none" w:sz="0" w:space="0" w:color="auto"/>
        <w:right w:val="none" w:sz="0" w:space="0" w:color="auto"/>
      </w:divBdr>
    </w:div>
    <w:div w:id="1106274582">
      <w:marLeft w:val="0"/>
      <w:marRight w:val="0"/>
      <w:marTop w:val="0"/>
      <w:marBottom w:val="0"/>
      <w:divBdr>
        <w:top w:val="none" w:sz="0" w:space="0" w:color="auto"/>
        <w:left w:val="none" w:sz="0" w:space="0" w:color="auto"/>
        <w:bottom w:val="none" w:sz="0" w:space="0" w:color="auto"/>
        <w:right w:val="none" w:sz="0" w:space="0" w:color="auto"/>
      </w:divBdr>
    </w:div>
    <w:div w:id="1106274585">
      <w:marLeft w:val="0"/>
      <w:marRight w:val="0"/>
      <w:marTop w:val="0"/>
      <w:marBottom w:val="0"/>
      <w:divBdr>
        <w:top w:val="none" w:sz="0" w:space="0" w:color="auto"/>
        <w:left w:val="none" w:sz="0" w:space="0" w:color="auto"/>
        <w:bottom w:val="none" w:sz="0" w:space="0" w:color="auto"/>
        <w:right w:val="none" w:sz="0" w:space="0" w:color="auto"/>
      </w:divBdr>
    </w:div>
    <w:div w:id="1106274587">
      <w:marLeft w:val="0"/>
      <w:marRight w:val="0"/>
      <w:marTop w:val="0"/>
      <w:marBottom w:val="0"/>
      <w:divBdr>
        <w:top w:val="none" w:sz="0" w:space="0" w:color="auto"/>
        <w:left w:val="none" w:sz="0" w:space="0" w:color="auto"/>
        <w:bottom w:val="none" w:sz="0" w:space="0" w:color="auto"/>
        <w:right w:val="none" w:sz="0" w:space="0" w:color="auto"/>
      </w:divBdr>
      <w:divsChild>
        <w:div w:id="1106274542">
          <w:marLeft w:val="0"/>
          <w:marRight w:val="0"/>
          <w:marTop w:val="0"/>
          <w:marBottom w:val="0"/>
          <w:divBdr>
            <w:top w:val="none" w:sz="0" w:space="0" w:color="auto"/>
            <w:left w:val="none" w:sz="0" w:space="0" w:color="auto"/>
            <w:bottom w:val="none" w:sz="0" w:space="0" w:color="auto"/>
            <w:right w:val="none" w:sz="0" w:space="0" w:color="auto"/>
          </w:divBdr>
          <w:divsChild>
            <w:div w:id="1106274573">
              <w:marLeft w:val="0"/>
              <w:marRight w:val="0"/>
              <w:marTop w:val="0"/>
              <w:marBottom w:val="0"/>
              <w:divBdr>
                <w:top w:val="none" w:sz="0" w:space="0" w:color="auto"/>
                <w:left w:val="none" w:sz="0" w:space="0" w:color="auto"/>
                <w:bottom w:val="none" w:sz="0" w:space="0" w:color="auto"/>
                <w:right w:val="none" w:sz="0" w:space="0" w:color="auto"/>
              </w:divBdr>
              <w:divsChild>
                <w:div w:id="1106274598">
                  <w:marLeft w:val="0"/>
                  <w:marRight w:val="0"/>
                  <w:marTop w:val="0"/>
                  <w:marBottom w:val="0"/>
                  <w:divBdr>
                    <w:top w:val="none" w:sz="0" w:space="0" w:color="auto"/>
                    <w:left w:val="none" w:sz="0" w:space="0" w:color="auto"/>
                    <w:bottom w:val="none" w:sz="0" w:space="0" w:color="auto"/>
                    <w:right w:val="none" w:sz="0" w:space="0" w:color="auto"/>
                  </w:divBdr>
                  <w:divsChild>
                    <w:div w:id="1106274594">
                      <w:marLeft w:val="0"/>
                      <w:marRight w:val="0"/>
                      <w:marTop w:val="0"/>
                      <w:marBottom w:val="0"/>
                      <w:divBdr>
                        <w:top w:val="none" w:sz="0" w:space="0" w:color="auto"/>
                        <w:left w:val="none" w:sz="0" w:space="0" w:color="auto"/>
                        <w:bottom w:val="none" w:sz="0" w:space="0" w:color="auto"/>
                        <w:right w:val="none" w:sz="0" w:space="0" w:color="auto"/>
                      </w:divBdr>
                      <w:divsChild>
                        <w:div w:id="1106274561">
                          <w:marLeft w:val="0"/>
                          <w:marRight w:val="0"/>
                          <w:marTop w:val="0"/>
                          <w:marBottom w:val="0"/>
                          <w:divBdr>
                            <w:top w:val="none" w:sz="0" w:space="0" w:color="auto"/>
                            <w:left w:val="none" w:sz="0" w:space="0" w:color="auto"/>
                            <w:bottom w:val="none" w:sz="0" w:space="0" w:color="auto"/>
                            <w:right w:val="none" w:sz="0" w:space="0" w:color="auto"/>
                          </w:divBdr>
                          <w:divsChild>
                            <w:div w:id="1106274592">
                              <w:marLeft w:val="0"/>
                              <w:marRight w:val="0"/>
                              <w:marTop w:val="0"/>
                              <w:marBottom w:val="0"/>
                              <w:divBdr>
                                <w:top w:val="none" w:sz="0" w:space="0" w:color="auto"/>
                                <w:left w:val="none" w:sz="0" w:space="0" w:color="auto"/>
                                <w:bottom w:val="none" w:sz="0" w:space="0" w:color="auto"/>
                                <w:right w:val="none" w:sz="0" w:space="0" w:color="auto"/>
                              </w:divBdr>
                              <w:divsChild>
                                <w:div w:id="11062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4588">
      <w:marLeft w:val="0"/>
      <w:marRight w:val="0"/>
      <w:marTop w:val="0"/>
      <w:marBottom w:val="0"/>
      <w:divBdr>
        <w:top w:val="none" w:sz="0" w:space="0" w:color="auto"/>
        <w:left w:val="none" w:sz="0" w:space="0" w:color="auto"/>
        <w:bottom w:val="none" w:sz="0" w:space="0" w:color="auto"/>
        <w:right w:val="none" w:sz="0" w:space="0" w:color="auto"/>
      </w:divBdr>
    </w:div>
    <w:div w:id="1106274595">
      <w:marLeft w:val="0"/>
      <w:marRight w:val="0"/>
      <w:marTop w:val="0"/>
      <w:marBottom w:val="0"/>
      <w:divBdr>
        <w:top w:val="none" w:sz="0" w:space="0" w:color="auto"/>
        <w:left w:val="none" w:sz="0" w:space="0" w:color="auto"/>
        <w:bottom w:val="none" w:sz="0" w:space="0" w:color="auto"/>
        <w:right w:val="none" w:sz="0" w:space="0" w:color="auto"/>
      </w:divBdr>
      <w:divsChild>
        <w:div w:id="1106274528">
          <w:marLeft w:val="547"/>
          <w:marRight w:val="0"/>
          <w:marTop w:val="86"/>
          <w:marBottom w:val="0"/>
          <w:divBdr>
            <w:top w:val="none" w:sz="0" w:space="0" w:color="auto"/>
            <w:left w:val="none" w:sz="0" w:space="0" w:color="auto"/>
            <w:bottom w:val="none" w:sz="0" w:space="0" w:color="auto"/>
            <w:right w:val="none" w:sz="0" w:space="0" w:color="auto"/>
          </w:divBdr>
        </w:div>
        <w:div w:id="1106274539">
          <w:marLeft w:val="547"/>
          <w:marRight w:val="0"/>
          <w:marTop w:val="86"/>
          <w:marBottom w:val="0"/>
          <w:divBdr>
            <w:top w:val="none" w:sz="0" w:space="0" w:color="auto"/>
            <w:left w:val="none" w:sz="0" w:space="0" w:color="auto"/>
            <w:bottom w:val="none" w:sz="0" w:space="0" w:color="auto"/>
            <w:right w:val="none" w:sz="0" w:space="0" w:color="auto"/>
          </w:divBdr>
        </w:div>
        <w:div w:id="1106274586">
          <w:marLeft w:val="547"/>
          <w:marRight w:val="0"/>
          <w:marTop w:val="86"/>
          <w:marBottom w:val="0"/>
          <w:divBdr>
            <w:top w:val="none" w:sz="0" w:space="0" w:color="auto"/>
            <w:left w:val="none" w:sz="0" w:space="0" w:color="auto"/>
            <w:bottom w:val="none" w:sz="0" w:space="0" w:color="auto"/>
            <w:right w:val="none" w:sz="0" w:space="0" w:color="auto"/>
          </w:divBdr>
        </w:div>
      </w:divsChild>
    </w:div>
    <w:div w:id="1106274596">
      <w:marLeft w:val="0"/>
      <w:marRight w:val="0"/>
      <w:marTop w:val="0"/>
      <w:marBottom w:val="480"/>
      <w:divBdr>
        <w:top w:val="none" w:sz="0" w:space="0" w:color="auto"/>
        <w:left w:val="none" w:sz="0" w:space="0" w:color="auto"/>
        <w:bottom w:val="none" w:sz="0" w:space="0" w:color="auto"/>
        <w:right w:val="none" w:sz="0" w:space="0" w:color="auto"/>
      </w:divBdr>
      <w:divsChild>
        <w:div w:id="1106274547">
          <w:marLeft w:val="0"/>
          <w:marRight w:val="0"/>
          <w:marTop w:val="0"/>
          <w:marBottom w:val="0"/>
          <w:divBdr>
            <w:top w:val="none" w:sz="0" w:space="0" w:color="auto"/>
            <w:left w:val="none" w:sz="0" w:space="0" w:color="auto"/>
            <w:bottom w:val="none" w:sz="0" w:space="0" w:color="auto"/>
            <w:right w:val="none" w:sz="0" w:space="0" w:color="auto"/>
          </w:divBdr>
          <w:divsChild>
            <w:div w:id="1106274565">
              <w:marLeft w:val="0"/>
              <w:marRight w:val="0"/>
              <w:marTop w:val="0"/>
              <w:marBottom w:val="0"/>
              <w:divBdr>
                <w:top w:val="none" w:sz="0" w:space="0" w:color="auto"/>
                <w:left w:val="none" w:sz="0" w:space="0" w:color="auto"/>
                <w:bottom w:val="none" w:sz="0" w:space="0" w:color="auto"/>
                <w:right w:val="none" w:sz="0" w:space="0" w:color="auto"/>
              </w:divBdr>
              <w:divsChild>
                <w:div w:id="1106274545">
                  <w:marLeft w:val="0"/>
                  <w:marRight w:val="0"/>
                  <w:marTop w:val="0"/>
                  <w:marBottom w:val="0"/>
                  <w:divBdr>
                    <w:top w:val="none" w:sz="0" w:space="0" w:color="auto"/>
                    <w:left w:val="none" w:sz="0" w:space="0" w:color="auto"/>
                    <w:bottom w:val="none" w:sz="0" w:space="0" w:color="auto"/>
                    <w:right w:val="none" w:sz="0" w:space="0" w:color="auto"/>
                  </w:divBdr>
                  <w:divsChild>
                    <w:div w:id="1106274600">
                      <w:marLeft w:val="0"/>
                      <w:marRight w:val="0"/>
                      <w:marTop w:val="0"/>
                      <w:marBottom w:val="0"/>
                      <w:divBdr>
                        <w:top w:val="none" w:sz="0" w:space="0" w:color="auto"/>
                        <w:left w:val="none" w:sz="0" w:space="0" w:color="auto"/>
                        <w:bottom w:val="none" w:sz="0" w:space="0" w:color="auto"/>
                        <w:right w:val="none" w:sz="0" w:space="0" w:color="auto"/>
                      </w:divBdr>
                      <w:divsChild>
                        <w:div w:id="1106274610">
                          <w:marLeft w:val="0"/>
                          <w:marRight w:val="0"/>
                          <w:marTop w:val="0"/>
                          <w:marBottom w:val="0"/>
                          <w:divBdr>
                            <w:top w:val="none" w:sz="0" w:space="0" w:color="auto"/>
                            <w:left w:val="none" w:sz="0" w:space="0" w:color="auto"/>
                            <w:bottom w:val="none" w:sz="0" w:space="0" w:color="auto"/>
                            <w:right w:val="none" w:sz="0" w:space="0" w:color="auto"/>
                          </w:divBdr>
                          <w:divsChild>
                            <w:div w:id="1106274577">
                              <w:marLeft w:val="0"/>
                              <w:marRight w:val="0"/>
                              <w:marTop w:val="0"/>
                              <w:marBottom w:val="0"/>
                              <w:divBdr>
                                <w:top w:val="none" w:sz="0" w:space="0" w:color="auto"/>
                                <w:left w:val="none" w:sz="0" w:space="0" w:color="auto"/>
                                <w:bottom w:val="none" w:sz="0" w:space="0" w:color="auto"/>
                                <w:right w:val="none" w:sz="0" w:space="0" w:color="auto"/>
                              </w:divBdr>
                              <w:divsChild>
                                <w:div w:id="1106274544">
                                  <w:marLeft w:val="-390"/>
                                  <w:marRight w:val="-390"/>
                                  <w:marTop w:val="0"/>
                                  <w:marBottom w:val="360"/>
                                  <w:divBdr>
                                    <w:top w:val="none" w:sz="0" w:space="0" w:color="auto"/>
                                    <w:left w:val="none" w:sz="0" w:space="0" w:color="auto"/>
                                    <w:bottom w:val="none" w:sz="0" w:space="0" w:color="auto"/>
                                    <w:right w:val="none" w:sz="0" w:space="0" w:color="auto"/>
                                  </w:divBdr>
                                  <w:divsChild>
                                    <w:div w:id="110627461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274609">
      <w:marLeft w:val="0"/>
      <w:marRight w:val="0"/>
      <w:marTop w:val="0"/>
      <w:marBottom w:val="0"/>
      <w:divBdr>
        <w:top w:val="none" w:sz="0" w:space="0" w:color="auto"/>
        <w:left w:val="none" w:sz="0" w:space="0" w:color="auto"/>
        <w:bottom w:val="none" w:sz="0" w:space="0" w:color="auto"/>
        <w:right w:val="none" w:sz="0" w:space="0" w:color="auto"/>
      </w:divBdr>
      <w:divsChild>
        <w:div w:id="1106274549">
          <w:marLeft w:val="0"/>
          <w:marRight w:val="0"/>
          <w:marTop w:val="0"/>
          <w:marBottom w:val="0"/>
          <w:divBdr>
            <w:top w:val="none" w:sz="0" w:space="0" w:color="auto"/>
            <w:left w:val="none" w:sz="0" w:space="0" w:color="auto"/>
            <w:bottom w:val="none" w:sz="0" w:space="0" w:color="auto"/>
            <w:right w:val="none" w:sz="0" w:space="0" w:color="auto"/>
          </w:divBdr>
        </w:div>
      </w:divsChild>
    </w:div>
    <w:div w:id="1299610782">
      <w:bodyDiv w:val="1"/>
      <w:marLeft w:val="0"/>
      <w:marRight w:val="0"/>
      <w:marTop w:val="0"/>
      <w:marBottom w:val="0"/>
      <w:divBdr>
        <w:top w:val="none" w:sz="0" w:space="0" w:color="auto"/>
        <w:left w:val="none" w:sz="0" w:space="0" w:color="auto"/>
        <w:bottom w:val="none" w:sz="0" w:space="0" w:color="auto"/>
        <w:right w:val="none" w:sz="0" w:space="0" w:color="auto"/>
      </w:divBdr>
      <w:divsChild>
        <w:div w:id="65536422">
          <w:marLeft w:val="562"/>
          <w:marRight w:val="0"/>
          <w:marTop w:val="40"/>
          <w:marBottom w:val="80"/>
          <w:divBdr>
            <w:top w:val="none" w:sz="0" w:space="0" w:color="auto"/>
            <w:left w:val="none" w:sz="0" w:space="0" w:color="auto"/>
            <w:bottom w:val="none" w:sz="0" w:space="0" w:color="auto"/>
            <w:right w:val="none" w:sz="0" w:space="0" w:color="auto"/>
          </w:divBdr>
        </w:div>
        <w:div w:id="260375254">
          <w:marLeft w:val="562"/>
          <w:marRight w:val="0"/>
          <w:marTop w:val="40"/>
          <w:marBottom w:val="80"/>
          <w:divBdr>
            <w:top w:val="none" w:sz="0" w:space="0" w:color="auto"/>
            <w:left w:val="none" w:sz="0" w:space="0" w:color="auto"/>
            <w:bottom w:val="none" w:sz="0" w:space="0" w:color="auto"/>
            <w:right w:val="none" w:sz="0" w:space="0" w:color="auto"/>
          </w:divBdr>
        </w:div>
        <w:div w:id="668680308">
          <w:marLeft w:val="562"/>
          <w:marRight w:val="0"/>
          <w:marTop w:val="40"/>
          <w:marBottom w:val="80"/>
          <w:divBdr>
            <w:top w:val="none" w:sz="0" w:space="0" w:color="auto"/>
            <w:left w:val="none" w:sz="0" w:space="0" w:color="auto"/>
            <w:bottom w:val="none" w:sz="0" w:space="0" w:color="auto"/>
            <w:right w:val="none" w:sz="0" w:space="0" w:color="auto"/>
          </w:divBdr>
        </w:div>
        <w:div w:id="1256859417">
          <w:marLeft w:val="562"/>
          <w:marRight w:val="0"/>
          <w:marTop w:val="40"/>
          <w:marBottom w:val="80"/>
          <w:divBdr>
            <w:top w:val="none" w:sz="0" w:space="0" w:color="auto"/>
            <w:left w:val="none" w:sz="0" w:space="0" w:color="auto"/>
            <w:bottom w:val="none" w:sz="0" w:space="0" w:color="auto"/>
            <w:right w:val="none" w:sz="0" w:space="0" w:color="auto"/>
          </w:divBdr>
        </w:div>
        <w:div w:id="1365058170">
          <w:marLeft w:val="562"/>
          <w:marRight w:val="0"/>
          <w:marTop w:val="40"/>
          <w:marBottom w:val="80"/>
          <w:divBdr>
            <w:top w:val="none" w:sz="0" w:space="0" w:color="auto"/>
            <w:left w:val="none" w:sz="0" w:space="0" w:color="auto"/>
            <w:bottom w:val="none" w:sz="0" w:space="0" w:color="auto"/>
            <w:right w:val="none" w:sz="0" w:space="0" w:color="auto"/>
          </w:divBdr>
        </w:div>
      </w:divsChild>
    </w:div>
    <w:div w:id="1371683293">
      <w:bodyDiv w:val="1"/>
      <w:marLeft w:val="0"/>
      <w:marRight w:val="0"/>
      <w:marTop w:val="0"/>
      <w:marBottom w:val="0"/>
      <w:divBdr>
        <w:top w:val="none" w:sz="0" w:space="0" w:color="auto"/>
        <w:left w:val="none" w:sz="0" w:space="0" w:color="auto"/>
        <w:bottom w:val="none" w:sz="0" w:space="0" w:color="auto"/>
        <w:right w:val="none" w:sz="0" w:space="0" w:color="auto"/>
      </w:divBdr>
    </w:div>
    <w:div w:id="1464618373">
      <w:bodyDiv w:val="1"/>
      <w:marLeft w:val="0"/>
      <w:marRight w:val="0"/>
      <w:marTop w:val="0"/>
      <w:marBottom w:val="0"/>
      <w:divBdr>
        <w:top w:val="none" w:sz="0" w:space="0" w:color="auto"/>
        <w:left w:val="none" w:sz="0" w:space="0" w:color="auto"/>
        <w:bottom w:val="none" w:sz="0" w:space="0" w:color="auto"/>
        <w:right w:val="none" w:sz="0" w:space="0" w:color="auto"/>
      </w:divBdr>
    </w:div>
    <w:div w:id="1503159911">
      <w:bodyDiv w:val="1"/>
      <w:marLeft w:val="0"/>
      <w:marRight w:val="0"/>
      <w:marTop w:val="0"/>
      <w:marBottom w:val="0"/>
      <w:divBdr>
        <w:top w:val="none" w:sz="0" w:space="0" w:color="auto"/>
        <w:left w:val="none" w:sz="0" w:space="0" w:color="auto"/>
        <w:bottom w:val="none" w:sz="0" w:space="0" w:color="auto"/>
        <w:right w:val="none" w:sz="0" w:space="0" w:color="auto"/>
      </w:divBdr>
    </w:div>
    <w:div w:id="1566254564">
      <w:bodyDiv w:val="1"/>
      <w:marLeft w:val="0"/>
      <w:marRight w:val="0"/>
      <w:marTop w:val="0"/>
      <w:marBottom w:val="0"/>
      <w:divBdr>
        <w:top w:val="none" w:sz="0" w:space="0" w:color="auto"/>
        <w:left w:val="none" w:sz="0" w:space="0" w:color="auto"/>
        <w:bottom w:val="none" w:sz="0" w:space="0" w:color="auto"/>
        <w:right w:val="none" w:sz="0" w:space="0" w:color="auto"/>
      </w:divBdr>
    </w:div>
    <w:div w:id="1759597545">
      <w:bodyDiv w:val="1"/>
      <w:marLeft w:val="0"/>
      <w:marRight w:val="0"/>
      <w:marTop w:val="0"/>
      <w:marBottom w:val="0"/>
      <w:divBdr>
        <w:top w:val="none" w:sz="0" w:space="0" w:color="auto"/>
        <w:left w:val="none" w:sz="0" w:space="0" w:color="auto"/>
        <w:bottom w:val="none" w:sz="0" w:space="0" w:color="auto"/>
        <w:right w:val="none" w:sz="0" w:space="0" w:color="auto"/>
      </w:divBdr>
    </w:div>
    <w:div w:id="1880973663">
      <w:bodyDiv w:val="1"/>
      <w:marLeft w:val="0"/>
      <w:marRight w:val="0"/>
      <w:marTop w:val="0"/>
      <w:marBottom w:val="0"/>
      <w:divBdr>
        <w:top w:val="none" w:sz="0" w:space="0" w:color="auto"/>
        <w:left w:val="none" w:sz="0" w:space="0" w:color="auto"/>
        <w:bottom w:val="none" w:sz="0" w:space="0" w:color="auto"/>
        <w:right w:val="none" w:sz="0" w:space="0" w:color="auto"/>
      </w:divBdr>
    </w:div>
    <w:div w:id="20024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procurement.govt.nz/procurement/principles-and-rules/government-procurement-rules" TargetMode="External"/><Relationship Id="rId26" Type="http://schemas.openxmlformats.org/officeDocument/2006/relationships/hyperlink" Target="https://www.axelos.com/best-practice-solutions/" TargetMode="External"/><Relationship Id="rId39" Type="http://schemas.openxmlformats.org/officeDocument/2006/relationships/hyperlink" Target="https://www.procurement.govt.nz/" TargetMode="External"/><Relationship Id="rId21" Type="http://schemas.openxmlformats.org/officeDocument/2006/relationships/hyperlink" Target="mailto:procurementplanning@mbie.govt.nz" TargetMode="External"/><Relationship Id="rId34" Type="http://schemas.openxmlformats.org/officeDocument/2006/relationships/hyperlink" Target="https://treasury.govt.nz/information-and-services/state-sector-leadership/investment-management/plan-investment-choices/benefits-guidance" TargetMode="External"/><Relationship Id="rId42" Type="http://schemas.openxmlformats.org/officeDocument/2006/relationships/hyperlink" Target="mailto:info@infracom.govt.nz" TargetMode="External"/><Relationship Id="rId47" Type="http://schemas.openxmlformats.org/officeDocument/2006/relationships/hyperlink" Target="http://www.digital.govt.nz" TargetMode="External"/><Relationship Id="rId50" Type="http://schemas.openxmlformats.org/officeDocument/2006/relationships/hyperlink" Target="https://treasury.govt.nz/publications/guide/better-business-cases-significant-investment-proposal-point-entry" TargetMode="External"/><Relationship Id="rId55" Type="http://schemas.openxmlformats.org/officeDocument/2006/relationships/footer" Target="footer8.xml"/><Relationship Id="rId63" Type="http://schemas.openxmlformats.org/officeDocument/2006/relationships/hyperlink" Target="http://www.procurement.govt.nz/procurement/principles-and-rules/government-procurement-rules/" TargetMode="External"/><Relationship Id="rId68" Type="http://schemas.openxmlformats.org/officeDocument/2006/relationships/hyperlink" Target="http://www.treasury.govt.nz/publications/legislation/regulatory-impact-assessments" TargetMode="External"/><Relationship Id="rId76" Type="http://schemas.openxmlformats.org/officeDocument/2006/relationships/hyperlink" Target="http://www.legislation.govt.nz/act/public/1981/0047/latest/whole.html" TargetMode="External"/><Relationship Id="rId7" Type="http://schemas.openxmlformats.org/officeDocument/2006/relationships/settings" Target="settings.xml"/><Relationship Id="rId71" Type="http://schemas.openxmlformats.org/officeDocument/2006/relationships/hyperlink" Target="http://www.treasury.govt.nz/publications/guide/whole-life-costs-guidance"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1" Type="http://schemas.openxmlformats.org/officeDocument/2006/relationships/hyperlink" Target="https://treasury.govt.nz/information-and-services/state-sector-leadership/investment-management/better-business-cases/guidance" TargetMode="External"/><Relationship Id="rId24" Type="http://schemas.openxmlformats.org/officeDocument/2006/relationships/hyperlink" Target="https://infracom.govt.nz/major-projects/public-private-partnerships/" TargetMode="External"/><Relationship Id="rId32" Type="http://schemas.openxmlformats.org/officeDocument/2006/relationships/image" Target="media/image1.png"/><Relationship Id="rId37" Type="http://schemas.openxmlformats.org/officeDocument/2006/relationships/hyperlink" Target="https://www.procurement.govt.nz/broader-outcomes/" TargetMode="External"/><Relationship Id="rId40" Type="http://schemas.openxmlformats.org/officeDocument/2006/relationships/hyperlink" Target="https://www.procurement.govt.nz/procurement/guide-to-procurement/" TargetMode="External"/><Relationship Id="rId45" Type="http://schemas.openxmlformats.org/officeDocument/2006/relationships/hyperlink" Target="http://www.procurement.govt.nz/" TargetMode="External"/><Relationship Id="rId53" Type="http://schemas.openxmlformats.org/officeDocument/2006/relationships/footer" Target="footer6.xml"/><Relationship Id="rId58" Type="http://schemas.openxmlformats.org/officeDocument/2006/relationships/footer" Target="footer10.xml"/><Relationship Id="rId66" Type="http://schemas.openxmlformats.org/officeDocument/2006/relationships/hyperlink" Target="http://www.treasury.govt.nz/information-and-services/state-sector-leadership/investment-management/plan-investment-choices/cost-benefit-analysis-including-public-sector-discount-rates" TargetMode="External"/><Relationship Id="rId74" Type="http://schemas.openxmlformats.org/officeDocument/2006/relationships/image" Target="media/image3.png"/><Relationship Id="rId79" Type="http://schemas.openxmlformats.org/officeDocument/2006/relationships/footer" Target="footer12.xml"/><Relationship Id="rId5" Type="http://schemas.openxmlformats.org/officeDocument/2006/relationships/numbering" Target="numbering.xml"/><Relationship Id="rId61" Type="http://schemas.openxmlformats.org/officeDocument/2006/relationships/hyperlink" Target="http://www.procurement.govt.nz/broader-outcomes/"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ocurement.govt.nz/" TargetMode="External"/><Relationship Id="rId31" Type="http://schemas.openxmlformats.org/officeDocument/2006/relationships/hyperlink" Target="mailto:better.businesscases@treasury.govt.nz" TargetMode="External"/><Relationship Id="rId44" Type="http://schemas.openxmlformats.org/officeDocument/2006/relationships/hyperlink" Target="https://infracom.govt.nz/major-projects/public-private-partnerships/" TargetMode="External"/><Relationship Id="rId52" Type="http://schemas.openxmlformats.org/officeDocument/2006/relationships/header" Target="header6.xml"/><Relationship Id="rId60" Type="http://schemas.openxmlformats.org/officeDocument/2006/relationships/hyperlink" Target="http://www.gov.uk/government/publications/the-green-book-appraisal-and-evaluation-in-central-governent" TargetMode="External"/><Relationship Id="rId65" Type="http://schemas.openxmlformats.org/officeDocument/2006/relationships/hyperlink" Target="http://www.treasury.govt.nz/information-and-services/state-sector-leadership/investment-management/plan-investment-choices/cost-benefit-analysis-including-public-sector-discount-rates/treasurys-cbax-tool" TargetMode="External"/><Relationship Id="rId73" Type="http://schemas.openxmlformats.org/officeDocument/2006/relationships/hyperlink" Target="https://assets.publishing.service.gov.uk/government/uploads/system/uploads/attachment_data/file/685903/The_Green_Book.pdf" TargetMode="External"/><Relationship Id="rId78" Type="http://schemas.openxmlformats.org/officeDocument/2006/relationships/footer" Target="footer11.xml"/><Relationship Id="rId8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infracom.govt.nz" TargetMode="External"/><Relationship Id="rId27" Type="http://schemas.openxmlformats.org/officeDocument/2006/relationships/header" Target="header4.xml"/><Relationship Id="rId30" Type="http://schemas.openxmlformats.org/officeDocument/2006/relationships/hyperlink" Target="http://www.treasury.govt.nz/statesector/investmentmanagement/plan/bbc" TargetMode="External"/><Relationship Id="rId35" Type="http://schemas.openxmlformats.org/officeDocument/2006/relationships/hyperlink" Target="https://treasury.govt.nz/information-and-services/nz-economy/living-standards/our-living-standards-framework/measuring-wellbeing-lsf-dashboard" TargetMode="External"/><Relationship Id="rId43" Type="http://schemas.openxmlformats.org/officeDocument/2006/relationships/hyperlink" Target="mailto:GCDO@dia.govt.nz" TargetMode="External"/><Relationship Id="rId48" Type="http://schemas.openxmlformats.org/officeDocument/2006/relationships/hyperlink" Target="https://treasury.govt.nz/information-and-services/state-sector-leadership/investment-management/think-investment-possibilities/risk-profile-assessment" TargetMode="External"/><Relationship Id="rId56" Type="http://schemas.openxmlformats.org/officeDocument/2006/relationships/image" Target="media/image2.png"/><Relationship Id="rId64" Type="http://schemas.openxmlformats.org/officeDocument/2006/relationships/hyperlink" Target="http://www.infracom.govt.nz/major-projects/public-private-partnerships/" TargetMode="External"/><Relationship Id="rId69" Type="http://schemas.openxmlformats.org/officeDocument/2006/relationships/hyperlink" Target="http://www.treasury.govt.nz/publications/guide/guide-cabinets-impact-analysis-requirements" TargetMode="External"/><Relationship Id="rId77"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eader" Target="header5.xml"/><Relationship Id="rId72" Type="http://schemas.openxmlformats.org/officeDocument/2006/relationships/hyperlink" Target="http://www.nationalarchives.gov.uk/doc/open-government-licence/version/3/" TargetMode="External"/><Relationship Id="rId80"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infracom.govt.nz" TargetMode="External"/><Relationship Id="rId33" Type="http://schemas.openxmlformats.org/officeDocument/2006/relationships/hyperlink" Target="https://treasury.govt.nz/information-and-services/state-sector-leadership/investment-management/better-business-cases-bbc/bbc-methods-and-tools" TargetMode="External"/><Relationship Id="rId38" Type="http://schemas.openxmlformats.org/officeDocument/2006/relationships/hyperlink" Target="https://www.procurement.govt.nz/procurement/principles-and-rules/government-procurement-rules" TargetMode="External"/><Relationship Id="rId46" Type="http://schemas.openxmlformats.org/officeDocument/2006/relationships/hyperlink" Target="http://www.infracom.govt.nz" TargetMode="External"/><Relationship Id="rId59" Type="http://schemas.openxmlformats.org/officeDocument/2006/relationships/hyperlink" Target="http://www.dpmc.govt.nz/publications/co-19-6-investment-management-and-asset-performance-state-services" TargetMode="External"/><Relationship Id="rId67" Type="http://schemas.openxmlformats.org/officeDocument/2006/relationships/hyperlink" Target="http://www.treasury.govt.nz/information-and-services/nz-economy/living-standards" TargetMode="External"/><Relationship Id="rId20" Type="http://schemas.openxmlformats.org/officeDocument/2006/relationships/hyperlink" Target="https://www.procurement.govt.nz/procurement/guide-to-procurement/" TargetMode="External"/><Relationship Id="rId41" Type="http://schemas.openxmlformats.org/officeDocument/2006/relationships/hyperlink" Target="mailto:procurementplanning@mbie.govt.nz" TargetMode="External"/><Relationship Id="rId54" Type="http://schemas.openxmlformats.org/officeDocument/2006/relationships/footer" Target="footer7.xml"/><Relationship Id="rId62" Type="http://schemas.openxmlformats.org/officeDocument/2006/relationships/hyperlink" Target="http://www.procurement.govt.nz/procurement/guide-to-procurement/" TargetMode="External"/><Relationship Id="rId70" Type="http://schemas.openxmlformats.org/officeDocument/2006/relationships/hyperlink" Target="http://www.treasury.govt.nz/information-and-services/nz-economy/living-standards/our-living-standards-framework/wellbeing-approach-cost-benefit-analysis" TargetMode="External"/><Relationship Id="rId75" Type="http://schemas.openxmlformats.org/officeDocument/2006/relationships/hyperlink" Target="https://creativecommons.org/licenses/by/4.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GCDO@dia.govt.nz" TargetMode="External"/><Relationship Id="rId28" Type="http://schemas.openxmlformats.org/officeDocument/2006/relationships/footer" Target="footer4.xml"/><Relationship Id="rId36" Type="http://schemas.openxmlformats.org/officeDocument/2006/relationships/hyperlink" Target="https://treasury.govt.nz/publications/template/wellbeing-domains-template" TargetMode="External"/><Relationship Id="rId49" Type="http://schemas.openxmlformats.org/officeDocument/2006/relationships/hyperlink" Target="mailto:GCDO@dia.govt.nz" TargetMode="External"/><Relationship Id="rId57"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treasury.govt.nz/information-and-services/nz-economy/higher-living-standards" TargetMode="External"/><Relationship Id="rId3" Type="http://schemas.openxmlformats.org/officeDocument/2006/relationships/hyperlink" Target="https://treasury.govt.nz/information-and-services/nz-economy/higher-living-standards" TargetMode="External"/><Relationship Id="rId7" Type="http://schemas.openxmlformats.org/officeDocument/2006/relationships/hyperlink" Target="https://dpmc.govt.nz/publications/co-19-6-investment-management-and-asset-performance-state-services" TargetMode="External"/><Relationship Id="rId2" Type="http://schemas.openxmlformats.org/officeDocument/2006/relationships/hyperlink" Target="https://dpmc.govt.nz/publications/co-19-6-investment-management-and-asset-performance-state-services" TargetMode="External"/><Relationship Id="rId1" Type="http://schemas.openxmlformats.org/officeDocument/2006/relationships/hyperlink" Target="http://www.g20.utoronto.ca/2018/principles_for_infrastructure_project_preparation.pdf" TargetMode="External"/><Relationship Id="rId6" Type="http://schemas.openxmlformats.org/officeDocument/2006/relationships/hyperlink" Target="https://treasury.govt.nz/information-and-services/state-sector-leadership/investment-management/think-investment-possibilities/risk-profile-assessment" TargetMode="External"/><Relationship Id="rId11" Type="http://schemas.openxmlformats.org/officeDocument/2006/relationships/hyperlink" Target="https://dpmc.govt.nz/publications/co-19-6-investment-management-and-asset-performance-state-services" TargetMode="External"/><Relationship Id="rId5" Type="http://schemas.openxmlformats.org/officeDocument/2006/relationships/hyperlink" Target="http://www.g20.utoronto.ca/2018/principles_for_infrastructure_project_preparation.pdf" TargetMode="External"/><Relationship Id="rId10" Type="http://schemas.openxmlformats.org/officeDocument/2006/relationships/hyperlink" Target="http://www.g20.utoronto.ca/2018/principles_for_infrastructure_project_preparation.pdf" TargetMode="External"/><Relationship Id="rId4" Type="http://schemas.openxmlformats.org/officeDocument/2006/relationships/hyperlink" Target="https://www.procurement.govt.nz/broader-outcomes/" TargetMode="External"/><Relationship Id="rId9" Type="http://schemas.openxmlformats.org/officeDocument/2006/relationships/hyperlink" Target="https://www.procurement.govt.nz/broader-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AF6185904F249BD4EFDC2D4949542" ma:contentTypeVersion="0" ma:contentTypeDescription="Create a new document." ma:contentTypeScope="" ma:versionID="a7046325d9db004330f224e7a9ec6950">
  <xsd:schema xmlns:xsd="http://www.w3.org/2001/XMLSchema" xmlns:xs="http://www.w3.org/2001/XMLSchema" xmlns:p="http://schemas.microsoft.com/office/2006/metadata/properties" targetNamespace="http://schemas.microsoft.com/office/2006/metadata/properties" ma:root="true" ma:fieldsID="9544179f570ae4740ee320e56e2f39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88C8-4ED4-4434-B3C2-9380662EFB0C}">
  <ds:schemaRefs>
    <ds:schemaRef ds:uri="http://schemas.microsoft.com/sharepoint/v3/contenttype/forms"/>
  </ds:schemaRefs>
</ds:datastoreItem>
</file>

<file path=customXml/itemProps2.xml><?xml version="1.0" encoding="utf-8"?>
<ds:datastoreItem xmlns:ds="http://schemas.openxmlformats.org/officeDocument/2006/customXml" ds:itemID="{2B466905-3E54-42CF-8B05-064613D17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13C69-887A-4F4B-BB8F-833154D29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CF10E6-D8D3-431F-B34B-DB3547CA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15124</Words>
  <Characters>98452</Characters>
  <Application>Microsoft Office Word</Application>
  <DocSecurity>0</DocSecurity>
  <Lines>820</Lines>
  <Paragraphs>226</Paragraphs>
  <ScaleCrop>false</ScaleCrop>
  <HeadingPairs>
    <vt:vector size="2" baseType="variant">
      <vt:variant>
        <vt:lpstr>Title</vt:lpstr>
      </vt:variant>
      <vt:variant>
        <vt:i4>1</vt:i4>
      </vt:variant>
    </vt:vector>
  </HeadingPairs>
  <TitlesOfParts>
    <vt:vector size="1" baseType="lpstr">
      <vt:lpstr>Programme Business Case Template &amp; Guidance - November 2019</vt:lpstr>
    </vt:vector>
  </TitlesOfParts>
  <Manager/>
  <Company/>
  <LinksUpToDate>false</LinksUpToDate>
  <CharactersWithSpaces>113350</CharactersWithSpaces>
  <SharedDoc>false</SharedDoc>
  <HLinks>
    <vt:vector size="456" baseType="variant">
      <vt:variant>
        <vt:i4>4653144</vt:i4>
      </vt:variant>
      <vt:variant>
        <vt:i4>261</vt:i4>
      </vt:variant>
      <vt:variant>
        <vt:i4>0</vt:i4>
      </vt:variant>
      <vt:variant>
        <vt:i4>5</vt:i4>
      </vt:variant>
      <vt:variant>
        <vt:lpwstr>http://www.legislation.govt.nz/act/public/1981/0047/latest/whole.html</vt:lpwstr>
      </vt:variant>
      <vt:variant>
        <vt:lpwstr>dlm52216</vt:lpwstr>
      </vt:variant>
      <vt:variant>
        <vt:i4>5308424</vt:i4>
      </vt:variant>
      <vt:variant>
        <vt:i4>258</vt:i4>
      </vt:variant>
      <vt:variant>
        <vt:i4>0</vt:i4>
      </vt:variant>
      <vt:variant>
        <vt:i4>5</vt:i4>
      </vt:variant>
      <vt:variant>
        <vt:lpwstr>https://creativecommons.org/licenses/by/4.0/</vt:lpwstr>
      </vt:variant>
      <vt:variant>
        <vt:lpwstr/>
      </vt:variant>
      <vt:variant>
        <vt:i4>2359298</vt:i4>
      </vt:variant>
      <vt:variant>
        <vt:i4>255</vt:i4>
      </vt:variant>
      <vt:variant>
        <vt:i4>0</vt:i4>
      </vt:variant>
      <vt:variant>
        <vt:i4>5</vt:i4>
      </vt:variant>
      <vt:variant>
        <vt:lpwstr>https://assets.publishing.service.gov.uk/government/uploads/system/uploads/attachment_data/file/685903/The_Green_Book.pdf</vt:lpwstr>
      </vt:variant>
      <vt:variant>
        <vt:lpwstr/>
      </vt:variant>
      <vt:variant>
        <vt:i4>5505035</vt:i4>
      </vt:variant>
      <vt:variant>
        <vt:i4>252</vt:i4>
      </vt:variant>
      <vt:variant>
        <vt:i4>0</vt:i4>
      </vt:variant>
      <vt:variant>
        <vt:i4>5</vt:i4>
      </vt:variant>
      <vt:variant>
        <vt:lpwstr>http://www.nationalarchives.gov.uk/doc/open-government-licence/version/3/</vt:lpwstr>
      </vt:variant>
      <vt:variant>
        <vt:lpwstr/>
      </vt:variant>
      <vt:variant>
        <vt:i4>262221</vt:i4>
      </vt:variant>
      <vt:variant>
        <vt:i4>249</vt:i4>
      </vt:variant>
      <vt:variant>
        <vt:i4>0</vt:i4>
      </vt:variant>
      <vt:variant>
        <vt:i4>5</vt:i4>
      </vt:variant>
      <vt:variant>
        <vt:lpwstr>https://treasury.govt.nz/information-and-services/nz-economy/living-standards/our-living-standards-framework/wellbeing-approach-cost-benefit-analysis</vt:lpwstr>
      </vt:variant>
      <vt:variant>
        <vt:lpwstr/>
      </vt:variant>
      <vt:variant>
        <vt:i4>2687072</vt:i4>
      </vt:variant>
      <vt:variant>
        <vt:i4>246</vt:i4>
      </vt:variant>
      <vt:variant>
        <vt:i4>0</vt:i4>
      </vt:variant>
      <vt:variant>
        <vt:i4>5</vt:i4>
      </vt:variant>
      <vt:variant>
        <vt:lpwstr>https://treasury.govt.nz/information-and-services/nz-economy/infrastructure/nz-infrastructure-commission/infrastructure-transactions-unit/public-private-partnerships/guidance</vt:lpwstr>
      </vt:variant>
      <vt:variant>
        <vt:lpwstr/>
      </vt:variant>
      <vt:variant>
        <vt:i4>5701713</vt:i4>
      </vt:variant>
      <vt:variant>
        <vt:i4>243</vt:i4>
      </vt:variant>
      <vt:variant>
        <vt:i4>0</vt:i4>
      </vt:variant>
      <vt:variant>
        <vt:i4>5</vt:i4>
      </vt:variant>
      <vt:variant>
        <vt:lpwstr>https://treasury.govt.nz/information-and-services/nz-economy/living-standards</vt:lpwstr>
      </vt:variant>
      <vt:variant>
        <vt:lpwstr/>
      </vt:variant>
      <vt:variant>
        <vt:i4>3014692</vt:i4>
      </vt:variant>
      <vt:variant>
        <vt:i4>240</vt:i4>
      </vt:variant>
      <vt:variant>
        <vt:i4>0</vt:i4>
      </vt:variant>
      <vt:variant>
        <vt:i4>5</vt:i4>
      </vt:variant>
      <vt:variant>
        <vt:lpwstr>https://treasury.govt.nz/publications/guide/guide-cabinets-impact-analysis-requirements</vt:lpwstr>
      </vt:variant>
      <vt:variant>
        <vt:lpwstr/>
      </vt:variant>
      <vt:variant>
        <vt:i4>6881376</vt:i4>
      </vt:variant>
      <vt:variant>
        <vt:i4>237</vt:i4>
      </vt:variant>
      <vt:variant>
        <vt:i4>0</vt:i4>
      </vt:variant>
      <vt:variant>
        <vt:i4>5</vt:i4>
      </vt:variant>
      <vt:variant>
        <vt:lpwstr>https://treasury.govt.nz/publications/legislation/regulatory-impact-assessments</vt:lpwstr>
      </vt:variant>
      <vt:variant>
        <vt:lpwstr/>
      </vt:variant>
      <vt:variant>
        <vt:i4>131080</vt:i4>
      </vt:variant>
      <vt:variant>
        <vt:i4>234</vt:i4>
      </vt:variant>
      <vt:variant>
        <vt:i4>0</vt:i4>
      </vt:variant>
      <vt:variant>
        <vt:i4>5</vt:i4>
      </vt:variant>
      <vt:variant>
        <vt:lpwstr>https://treasury.govt.nz/information-and-services/state-sector-leadership/investment-management/plan-investment-choices/cost-benefit-analysis-including-public-sector-discount-rates</vt:lpwstr>
      </vt:variant>
      <vt:variant>
        <vt:lpwstr/>
      </vt:variant>
      <vt:variant>
        <vt:i4>5046292</vt:i4>
      </vt:variant>
      <vt:variant>
        <vt:i4>231</vt:i4>
      </vt:variant>
      <vt:variant>
        <vt:i4>0</vt:i4>
      </vt:variant>
      <vt:variant>
        <vt:i4>5</vt:i4>
      </vt:variant>
      <vt:variant>
        <vt:lpwstr>https://treasury.govt.nz/information-and-services/state-sector-leadership/investment-management/plan-investment-choices/cost-benefit-analysis-including-public-sector-discount-rates/treasurys-cbax-tool</vt:lpwstr>
      </vt:variant>
      <vt:variant>
        <vt:lpwstr/>
      </vt:variant>
      <vt:variant>
        <vt:i4>7077942</vt:i4>
      </vt:variant>
      <vt:variant>
        <vt:i4>228</vt:i4>
      </vt:variant>
      <vt:variant>
        <vt:i4>0</vt:i4>
      </vt:variant>
      <vt:variant>
        <vt:i4>5</vt:i4>
      </vt:variant>
      <vt:variant>
        <vt:lpwstr>http://www.treasury.govt.nz/statesector/investmentmanagement/plan/bbc/guidance</vt:lpwstr>
      </vt:variant>
      <vt:variant>
        <vt:lpwstr/>
      </vt:variant>
      <vt:variant>
        <vt:i4>983057</vt:i4>
      </vt:variant>
      <vt:variant>
        <vt:i4>225</vt:i4>
      </vt:variant>
      <vt:variant>
        <vt:i4>0</vt:i4>
      </vt:variant>
      <vt:variant>
        <vt:i4>5</vt:i4>
      </vt:variant>
      <vt:variant>
        <vt:lpwstr>https://www.procurement.govt.nz/broader-outcomes/</vt:lpwstr>
      </vt:variant>
      <vt:variant>
        <vt:lpwstr/>
      </vt:variant>
      <vt:variant>
        <vt:i4>3014717</vt:i4>
      </vt:variant>
      <vt:variant>
        <vt:i4>222</vt:i4>
      </vt:variant>
      <vt:variant>
        <vt:i4>0</vt:i4>
      </vt:variant>
      <vt:variant>
        <vt:i4>5</vt:i4>
      </vt:variant>
      <vt:variant>
        <vt:lpwstr>https://www.procurement.govt.nz/procurement/principles-and-rules/government-procurement-rules/</vt:lpwstr>
      </vt:variant>
      <vt:variant>
        <vt:lpwstr/>
      </vt:variant>
      <vt:variant>
        <vt:i4>6160471</vt:i4>
      </vt:variant>
      <vt:variant>
        <vt:i4>219</vt:i4>
      </vt:variant>
      <vt:variant>
        <vt:i4>0</vt:i4>
      </vt:variant>
      <vt:variant>
        <vt:i4>5</vt:i4>
      </vt:variant>
      <vt:variant>
        <vt:lpwstr>https://www.procurement.govt.nz/procurement/guide-to-procurement/</vt:lpwstr>
      </vt:variant>
      <vt:variant>
        <vt:lpwstr/>
      </vt:variant>
      <vt:variant>
        <vt:i4>6881377</vt:i4>
      </vt:variant>
      <vt:variant>
        <vt:i4>216</vt:i4>
      </vt:variant>
      <vt:variant>
        <vt:i4>0</vt:i4>
      </vt:variant>
      <vt:variant>
        <vt:i4>5</vt:i4>
      </vt:variant>
      <vt:variant>
        <vt:lpwstr>https://www.gov.uk/government/publications/the-green-book-appraisal-and-evaluation-in-central-governent</vt:lpwstr>
      </vt:variant>
      <vt:variant>
        <vt:lpwstr/>
      </vt:variant>
      <vt:variant>
        <vt:i4>4521999</vt:i4>
      </vt:variant>
      <vt:variant>
        <vt:i4>213</vt:i4>
      </vt:variant>
      <vt:variant>
        <vt:i4>0</vt:i4>
      </vt:variant>
      <vt:variant>
        <vt:i4>5</vt:i4>
      </vt:variant>
      <vt:variant>
        <vt:lpwstr>https://dpmc.govt.nz/news/new-cabinet-office-circular-published-co-15-5-investment-management-and-asset-performance-state</vt:lpwstr>
      </vt:variant>
      <vt:variant>
        <vt:lpwstr/>
      </vt:variant>
      <vt:variant>
        <vt:i4>6946943</vt:i4>
      </vt:variant>
      <vt:variant>
        <vt:i4>210</vt:i4>
      </vt:variant>
      <vt:variant>
        <vt:i4>0</vt:i4>
      </vt:variant>
      <vt:variant>
        <vt:i4>5</vt:i4>
      </vt:variant>
      <vt:variant>
        <vt:lpwstr/>
      </vt:variant>
      <vt:variant>
        <vt:lpwstr>_Overall_affordability</vt:lpwstr>
      </vt:variant>
      <vt:variant>
        <vt:i4>6946943</vt:i4>
      </vt:variant>
      <vt:variant>
        <vt:i4>207</vt:i4>
      </vt:variant>
      <vt:variant>
        <vt:i4>0</vt:i4>
      </vt:variant>
      <vt:variant>
        <vt:i4>5</vt:i4>
      </vt:variant>
      <vt:variant>
        <vt:lpwstr/>
      </vt:variant>
      <vt:variant>
        <vt:lpwstr>_Overall_affordability</vt:lpwstr>
      </vt:variant>
      <vt:variant>
        <vt:i4>983112</vt:i4>
      </vt:variant>
      <vt:variant>
        <vt:i4>204</vt:i4>
      </vt:variant>
      <vt:variant>
        <vt:i4>0</vt:i4>
      </vt:variant>
      <vt:variant>
        <vt:i4>5</vt:i4>
      </vt:variant>
      <vt:variant>
        <vt:lpwstr>https://treasury.govt.nz/publications/guide/better-business-cases-significant-investment-proposal-point-entry</vt:lpwstr>
      </vt:variant>
      <vt:variant>
        <vt:lpwstr/>
      </vt:variant>
      <vt:variant>
        <vt:i4>539951204</vt:i4>
      </vt:variant>
      <vt:variant>
        <vt:i4>201</vt:i4>
      </vt:variant>
      <vt:variant>
        <vt:i4>0</vt:i4>
      </vt:variant>
      <vt:variant>
        <vt:i4>5</vt:i4>
      </vt:variant>
      <vt:variant>
        <vt:lpwstr/>
      </vt:variant>
      <vt:variant>
        <vt:lpwstr>_Management_Case_–</vt:lpwstr>
      </vt:variant>
      <vt:variant>
        <vt:i4>1245308</vt:i4>
      </vt:variant>
      <vt:variant>
        <vt:i4>198</vt:i4>
      </vt:variant>
      <vt:variant>
        <vt:i4>0</vt:i4>
      </vt:variant>
      <vt:variant>
        <vt:i4>5</vt:i4>
      </vt:variant>
      <vt:variant>
        <vt:lpwstr>mailto:GCDO@dia.govt.nz</vt:lpwstr>
      </vt:variant>
      <vt:variant>
        <vt:lpwstr/>
      </vt:variant>
      <vt:variant>
        <vt:i4>5505087</vt:i4>
      </vt:variant>
      <vt:variant>
        <vt:i4>195</vt:i4>
      </vt:variant>
      <vt:variant>
        <vt:i4>0</vt:i4>
      </vt:variant>
      <vt:variant>
        <vt:i4>5</vt:i4>
      </vt:variant>
      <vt:variant>
        <vt:lpwstr>mailto:investmentreviews@treasury.govt.nz</vt:lpwstr>
      </vt:variant>
      <vt:variant>
        <vt:lpwstr/>
      </vt:variant>
      <vt:variant>
        <vt:i4>7995437</vt:i4>
      </vt:variant>
      <vt:variant>
        <vt:i4>192</vt:i4>
      </vt:variant>
      <vt:variant>
        <vt:i4>0</vt:i4>
      </vt:variant>
      <vt:variant>
        <vt:i4>5</vt:i4>
      </vt:variant>
      <vt:variant>
        <vt:lpwstr>https://treasury.govt.nz/information-and-services/state-sector-leadership/investment-management/think-investment-possibilities/risk-profile-assessment</vt:lpwstr>
      </vt:variant>
      <vt:variant>
        <vt:lpwstr/>
      </vt:variant>
      <vt:variant>
        <vt:i4>6029339</vt:i4>
      </vt:variant>
      <vt:variant>
        <vt:i4>189</vt:i4>
      </vt:variant>
      <vt:variant>
        <vt:i4>0</vt:i4>
      </vt:variant>
      <vt:variant>
        <vt:i4>5</vt:i4>
      </vt:variant>
      <vt:variant>
        <vt:lpwstr>https://www.procurement.govt.nz/</vt:lpwstr>
      </vt:variant>
      <vt:variant>
        <vt:lpwstr/>
      </vt:variant>
      <vt:variant>
        <vt:i4>2883598</vt:i4>
      </vt:variant>
      <vt:variant>
        <vt:i4>186</vt:i4>
      </vt:variant>
      <vt:variant>
        <vt:i4>0</vt:i4>
      </vt:variant>
      <vt:variant>
        <vt:i4>5</vt:i4>
      </vt:variant>
      <vt:variant>
        <vt:lpwstr/>
      </vt:variant>
      <vt:variant>
        <vt:lpwstr>_Financial_Case_–</vt:lpwstr>
      </vt:variant>
      <vt:variant>
        <vt:i4>539033701</vt:i4>
      </vt:variant>
      <vt:variant>
        <vt:i4>183</vt:i4>
      </vt:variant>
      <vt:variant>
        <vt:i4>0</vt:i4>
      </vt:variant>
      <vt:variant>
        <vt:i4>5</vt:i4>
      </vt:variant>
      <vt:variant>
        <vt:lpwstr/>
      </vt:variant>
      <vt:variant>
        <vt:lpwstr>_Commercial_Case_–</vt:lpwstr>
      </vt:variant>
      <vt:variant>
        <vt:i4>6029324</vt:i4>
      </vt:variant>
      <vt:variant>
        <vt:i4>180</vt:i4>
      </vt:variant>
      <vt:variant>
        <vt:i4>0</vt:i4>
      </vt:variant>
      <vt:variant>
        <vt:i4>5</vt:i4>
      </vt:variant>
      <vt:variant>
        <vt:lpwstr>https://infracom.govt.nz/major-projects/public-private-partnerships/</vt:lpwstr>
      </vt:variant>
      <vt:variant>
        <vt:lpwstr/>
      </vt:variant>
      <vt:variant>
        <vt:i4>4063261</vt:i4>
      </vt:variant>
      <vt:variant>
        <vt:i4>177</vt:i4>
      </vt:variant>
      <vt:variant>
        <vt:i4>0</vt:i4>
      </vt:variant>
      <vt:variant>
        <vt:i4>5</vt:i4>
      </vt:variant>
      <vt:variant>
        <vt:lpwstr/>
      </vt:variant>
      <vt:variant>
        <vt:lpwstr>_Strategic_Case_–</vt:lpwstr>
      </vt:variant>
      <vt:variant>
        <vt:i4>983057</vt:i4>
      </vt:variant>
      <vt:variant>
        <vt:i4>174</vt:i4>
      </vt:variant>
      <vt:variant>
        <vt:i4>0</vt:i4>
      </vt:variant>
      <vt:variant>
        <vt:i4>5</vt:i4>
      </vt:variant>
      <vt:variant>
        <vt:lpwstr>https://www.procurement.govt.nz/broader-outcomes/</vt:lpwstr>
      </vt:variant>
      <vt:variant>
        <vt:lpwstr/>
      </vt:variant>
      <vt:variant>
        <vt:i4>851982</vt:i4>
      </vt:variant>
      <vt:variant>
        <vt:i4>171</vt:i4>
      </vt:variant>
      <vt:variant>
        <vt:i4>0</vt:i4>
      </vt:variant>
      <vt:variant>
        <vt:i4>5</vt:i4>
      </vt:variant>
      <vt:variant>
        <vt:lpwstr>https://treasury.govt.nz/publications/template/wellbeing-domains-template</vt:lpwstr>
      </vt:variant>
      <vt:variant>
        <vt:lpwstr/>
      </vt:variant>
      <vt:variant>
        <vt:i4>2883619</vt:i4>
      </vt:variant>
      <vt:variant>
        <vt:i4>168</vt:i4>
      </vt:variant>
      <vt:variant>
        <vt:i4>0</vt:i4>
      </vt:variant>
      <vt:variant>
        <vt:i4>5</vt:i4>
      </vt:variant>
      <vt:variant>
        <vt:lpwstr>https://treasury.govt.nz/information-and-services/nz-economy/living-standards/our-living-standards-framework/measuring-wellbeing-lsf-dashboard</vt:lpwstr>
      </vt:variant>
      <vt:variant>
        <vt:lpwstr/>
      </vt:variant>
      <vt:variant>
        <vt:i4>6225988</vt:i4>
      </vt:variant>
      <vt:variant>
        <vt:i4>165</vt:i4>
      </vt:variant>
      <vt:variant>
        <vt:i4>0</vt:i4>
      </vt:variant>
      <vt:variant>
        <vt:i4>5</vt:i4>
      </vt:variant>
      <vt:variant>
        <vt:lpwstr>https://treasury.govt.nz/information-and-services/state-sector-leadership/investment-management/plan-investment-choices/benefits-guidance</vt:lpwstr>
      </vt:variant>
      <vt:variant>
        <vt:lpwstr/>
      </vt:variant>
      <vt:variant>
        <vt:i4>2424922</vt:i4>
      </vt:variant>
      <vt:variant>
        <vt:i4>162</vt:i4>
      </vt:variant>
      <vt:variant>
        <vt:i4>0</vt:i4>
      </vt:variant>
      <vt:variant>
        <vt:i4>5</vt:i4>
      </vt:variant>
      <vt:variant>
        <vt:lpwstr/>
      </vt:variant>
      <vt:variant>
        <vt:lpwstr>_Before_you_start:</vt:lpwstr>
      </vt:variant>
      <vt:variant>
        <vt:i4>3080298</vt:i4>
      </vt:variant>
      <vt:variant>
        <vt:i4>159</vt:i4>
      </vt:variant>
      <vt:variant>
        <vt:i4>0</vt:i4>
      </vt:variant>
      <vt:variant>
        <vt:i4>5</vt:i4>
      </vt:variant>
      <vt:variant>
        <vt:lpwstr>https://treasury.govt.nz/information-and-services/state-sector-leadership/investment-management/better-business-cases-bbc/bbc-methods-and-tools</vt:lpwstr>
      </vt:variant>
      <vt:variant>
        <vt:lpwstr/>
      </vt:variant>
      <vt:variant>
        <vt:i4>7405637</vt:i4>
      </vt:variant>
      <vt:variant>
        <vt:i4>156</vt:i4>
      </vt:variant>
      <vt:variant>
        <vt:i4>0</vt:i4>
      </vt:variant>
      <vt:variant>
        <vt:i4>5</vt:i4>
      </vt:variant>
      <vt:variant>
        <vt:lpwstr/>
      </vt:variant>
      <vt:variant>
        <vt:lpwstr>_Annex_1:_The</vt:lpwstr>
      </vt:variant>
      <vt:variant>
        <vt:i4>2818061</vt:i4>
      </vt:variant>
      <vt:variant>
        <vt:i4>153</vt:i4>
      </vt:variant>
      <vt:variant>
        <vt:i4>0</vt:i4>
      </vt:variant>
      <vt:variant>
        <vt:i4>5</vt:i4>
      </vt:variant>
      <vt:variant>
        <vt:lpwstr>mailto:better.businesscases@treasury.govt.nz</vt:lpwstr>
      </vt:variant>
      <vt:variant>
        <vt:lpwstr/>
      </vt:variant>
      <vt:variant>
        <vt:i4>5832793</vt:i4>
      </vt:variant>
      <vt:variant>
        <vt:i4>150</vt:i4>
      </vt:variant>
      <vt:variant>
        <vt:i4>0</vt:i4>
      </vt:variant>
      <vt:variant>
        <vt:i4>5</vt:i4>
      </vt:variant>
      <vt:variant>
        <vt:lpwstr>http://www.treasury.govt.nz/statesector/investmentmanagement/plan/bbc</vt:lpwstr>
      </vt:variant>
      <vt:variant>
        <vt:lpwstr/>
      </vt:variant>
      <vt:variant>
        <vt:i4>2424922</vt:i4>
      </vt:variant>
      <vt:variant>
        <vt:i4>147</vt:i4>
      </vt:variant>
      <vt:variant>
        <vt:i4>0</vt:i4>
      </vt:variant>
      <vt:variant>
        <vt:i4>5</vt:i4>
      </vt:variant>
      <vt:variant>
        <vt:lpwstr/>
      </vt:variant>
      <vt:variant>
        <vt:lpwstr>_Before_you_start:</vt:lpwstr>
      </vt:variant>
      <vt:variant>
        <vt:i4>1703985</vt:i4>
      </vt:variant>
      <vt:variant>
        <vt:i4>144</vt:i4>
      </vt:variant>
      <vt:variant>
        <vt:i4>0</vt:i4>
      </vt:variant>
      <vt:variant>
        <vt:i4>5</vt:i4>
      </vt:variant>
      <vt:variant>
        <vt:lpwstr/>
      </vt:variant>
      <vt:variant>
        <vt:lpwstr>_Annex_2:_</vt:lpwstr>
      </vt:variant>
      <vt:variant>
        <vt:i4>1703985</vt:i4>
      </vt:variant>
      <vt:variant>
        <vt:i4>141</vt:i4>
      </vt:variant>
      <vt:variant>
        <vt:i4>0</vt:i4>
      </vt:variant>
      <vt:variant>
        <vt:i4>5</vt:i4>
      </vt:variant>
      <vt:variant>
        <vt:lpwstr/>
      </vt:variant>
      <vt:variant>
        <vt:lpwstr>_Annex_2:_</vt:lpwstr>
      </vt:variant>
      <vt:variant>
        <vt:i4>1703985</vt:i4>
      </vt:variant>
      <vt:variant>
        <vt:i4>138</vt:i4>
      </vt:variant>
      <vt:variant>
        <vt:i4>0</vt:i4>
      </vt:variant>
      <vt:variant>
        <vt:i4>5</vt:i4>
      </vt:variant>
      <vt:variant>
        <vt:lpwstr/>
      </vt:variant>
      <vt:variant>
        <vt:lpwstr>_Annex_2:_</vt:lpwstr>
      </vt:variant>
      <vt:variant>
        <vt:i4>1703985</vt:i4>
      </vt:variant>
      <vt:variant>
        <vt:i4>135</vt:i4>
      </vt:variant>
      <vt:variant>
        <vt:i4>0</vt:i4>
      </vt:variant>
      <vt:variant>
        <vt:i4>5</vt:i4>
      </vt:variant>
      <vt:variant>
        <vt:lpwstr/>
      </vt:variant>
      <vt:variant>
        <vt:lpwstr>_Annex_2:_</vt:lpwstr>
      </vt:variant>
      <vt:variant>
        <vt:i4>7798882</vt:i4>
      </vt:variant>
      <vt:variant>
        <vt:i4>132</vt:i4>
      </vt:variant>
      <vt:variant>
        <vt:i4>0</vt:i4>
      </vt:variant>
      <vt:variant>
        <vt:i4>5</vt:i4>
      </vt:variant>
      <vt:variant>
        <vt:lpwstr>https://www.axelos.com/best-practice-solutions/</vt:lpwstr>
      </vt:variant>
      <vt:variant>
        <vt:lpwstr/>
      </vt:variant>
      <vt:variant>
        <vt:i4>1703985</vt:i4>
      </vt:variant>
      <vt:variant>
        <vt:i4>129</vt:i4>
      </vt:variant>
      <vt:variant>
        <vt:i4>0</vt:i4>
      </vt:variant>
      <vt:variant>
        <vt:i4>5</vt:i4>
      </vt:variant>
      <vt:variant>
        <vt:lpwstr/>
      </vt:variant>
      <vt:variant>
        <vt:lpwstr>_Annex_2:_</vt:lpwstr>
      </vt:variant>
      <vt:variant>
        <vt:i4>1703985</vt:i4>
      </vt:variant>
      <vt:variant>
        <vt:i4>126</vt:i4>
      </vt:variant>
      <vt:variant>
        <vt:i4>0</vt:i4>
      </vt:variant>
      <vt:variant>
        <vt:i4>5</vt:i4>
      </vt:variant>
      <vt:variant>
        <vt:lpwstr/>
      </vt:variant>
      <vt:variant>
        <vt:lpwstr>_Annex_2:_</vt:lpwstr>
      </vt:variant>
      <vt:variant>
        <vt:i4>1703985</vt:i4>
      </vt:variant>
      <vt:variant>
        <vt:i4>123</vt:i4>
      </vt:variant>
      <vt:variant>
        <vt:i4>0</vt:i4>
      </vt:variant>
      <vt:variant>
        <vt:i4>5</vt:i4>
      </vt:variant>
      <vt:variant>
        <vt:lpwstr/>
      </vt:variant>
      <vt:variant>
        <vt:lpwstr>_Annex_2:_</vt:lpwstr>
      </vt:variant>
      <vt:variant>
        <vt:i4>538837051</vt:i4>
      </vt:variant>
      <vt:variant>
        <vt:i4>120</vt:i4>
      </vt:variant>
      <vt:variant>
        <vt:i4>0</vt:i4>
      </vt:variant>
      <vt:variant>
        <vt:i4>5</vt:i4>
      </vt:variant>
      <vt:variant>
        <vt:lpwstr/>
      </vt:variant>
      <vt:variant>
        <vt:lpwstr>_Management_Case_–_1</vt:lpwstr>
      </vt:variant>
      <vt:variant>
        <vt:i4>4595813</vt:i4>
      </vt:variant>
      <vt:variant>
        <vt:i4>117</vt:i4>
      </vt:variant>
      <vt:variant>
        <vt:i4>0</vt:i4>
      </vt:variant>
      <vt:variant>
        <vt:i4>5</vt:i4>
      </vt:variant>
      <vt:variant>
        <vt:lpwstr/>
      </vt:variant>
      <vt:variant>
        <vt:lpwstr>_The_Chief_Executive’s_1</vt:lpwstr>
      </vt:variant>
      <vt:variant>
        <vt:i4>3407879</vt:i4>
      </vt:variant>
      <vt:variant>
        <vt:i4>114</vt:i4>
      </vt:variant>
      <vt:variant>
        <vt:i4>0</vt:i4>
      </vt:variant>
      <vt:variant>
        <vt:i4>5</vt:i4>
      </vt:variant>
      <vt:variant>
        <vt:lpwstr/>
      </vt:variant>
      <vt:variant>
        <vt:lpwstr>_Annex_1:_Commissioner(’s’s)</vt:lpwstr>
      </vt:variant>
      <vt:variant>
        <vt:i4>7807034</vt:i4>
      </vt:variant>
      <vt:variant>
        <vt:i4>111</vt:i4>
      </vt:variant>
      <vt:variant>
        <vt:i4>0</vt:i4>
      </vt:variant>
      <vt:variant>
        <vt:i4>5</vt:i4>
      </vt:variant>
      <vt:variant>
        <vt:lpwstr/>
      </vt:variant>
      <vt:variant>
        <vt:lpwstr>_The_Chief_Executive’s</vt:lpwstr>
      </vt:variant>
      <vt:variant>
        <vt:i4>7217206</vt:i4>
      </vt:variant>
      <vt:variant>
        <vt:i4>108</vt:i4>
      </vt:variant>
      <vt:variant>
        <vt:i4>0</vt:i4>
      </vt:variant>
      <vt:variant>
        <vt:i4>5</vt:i4>
      </vt:variant>
      <vt:variant>
        <vt:lpwstr/>
      </vt:variant>
      <vt:variant>
        <vt:lpwstr>_Annex_1:_Commissioner’s</vt:lpwstr>
      </vt:variant>
      <vt:variant>
        <vt:i4>7544861</vt:i4>
      </vt:variant>
      <vt:variant>
        <vt:i4>105</vt:i4>
      </vt:variant>
      <vt:variant>
        <vt:i4>0</vt:i4>
      </vt:variant>
      <vt:variant>
        <vt:i4>5</vt:i4>
      </vt:variant>
      <vt:variant>
        <vt:lpwstr/>
      </vt:variant>
      <vt:variant>
        <vt:lpwstr>_Financial_Case_–_1</vt:lpwstr>
      </vt:variant>
      <vt:variant>
        <vt:i4>6029324</vt:i4>
      </vt:variant>
      <vt:variant>
        <vt:i4>102</vt:i4>
      </vt:variant>
      <vt:variant>
        <vt:i4>0</vt:i4>
      </vt:variant>
      <vt:variant>
        <vt:i4>5</vt:i4>
      </vt:variant>
      <vt:variant>
        <vt:lpwstr>https://infracom.govt.nz/major-projects/public-private-partnerships/</vt:lpwstr>
      </vt:variant>
      <vt:variant>
        <vt:lpwstr/>
      </vt:variant>
      <vt:variant>
        <vt:i4>1245308</vt:i4>
      </vt:variant>
      <vt:variant>
        <vt:i4>99</vt:i4>
      </vt:variant>
      <vt:variant>
        <vt:i4>0</vt:i4>
      </vt:variant>
      <vt:variant>
        <vt:i4>5</vt:i4>
      </vt:variant>
      <vt:variant>
        <vt:lpwstr>mailto:GCDO@dia.govt.nz</vt:lpwstr>
      </vt:variant>
      <vt:variant>
        <vt:lpwstr/>
      </vt:variant>
      <vt:variant>
        <vt:i4>7995409</vt:i4>
      </vt:variant>
      <vt:variant>
        <vt:i4>96</vt:i4>
      </vt:variant>
      <vt:variant>
        <vt:i4>0</vt:i4>
      </vt:variant>
      <vt:variant>
        <vt:i4>5</vt:i4>
      </vt:variant>
      <vt:variant>
        <vt:lpwstr>mailto:info@infracom.govt.nz</vt:lpwstr>
      </vt:variant>
      <vt:variant>
        <vt:lpwstr/>
      </vt:variant>
      <vt:variant>
        <vt:i4>6160471</vt:i4>
      </vt:variant>
      <vt:variant>
        <vt:i4>93</vt:i4>
      </vt:variant>
      <vt:variant>
        <vt:i4>0</vt:i4>
      </vt:variant>
      <vt:variant>
        <vt:i4>5</vt:i4>
      </vt:variant>
      <vt:variant>
        <vt:lpwstr>https://www.procurement.govt.nz/procurement/guide-to-procurement/</vt:lpwstr>
      </vt:variant>
      <vt:variant>
        <vt:lpwstr/>
      </vt:variant>
      <vt:variant>
        <vt:i4>6029339</vt:i4>
      </vt:variant>
      <vt:variant>
        <vt:i4>90</vt:i4>
      </vt:variant>
      <vt:variant>
        <vt:i4>0</vt:i4>
      </vt:variant>
      <vt:variant>
        <vt:i4>5</vt:i4>
      </vt:variant>
      <vt:variant>
        <vt:lpwstr>https://www.procurement.govt.nz/</vt:lpwstr>
      </vt:variant>
      <vt:variant>
        <vt:lpwstr/>
      </vt:variant>
      <vt:variant>
        <vt:i4>65614</vt:i4>
      </vt:variant>
      <vt:variant>
        <vt:i4>87</vt:i4>
      </vt:variant>
      <vt:variant>
        <vt:i4>0</vt:i4>
      </vt:variant>
      <vt:variant>
        <vt:i4>5</vt:i4>
      </vt:variant>
      <vt:variant>
        <vt:lpwstr>https://www.procurement.govt.nz/procurement/principles-and-rules/government-procurement-rules</vt:lpwstr>
      </vt:variant>
      <vt:variant>
        <vt:lpwstr/>
      </vt:variant>
      <vt:variant>
        <vt:i4>537919546</vt:i4>
      </vt:variant>
      <vt:variant>
        <vt:i4>84</vt:i4>
      </vt:variant>
      <vt:variant>
        <vt:i4>0</vt:i4>
      </vt:variant>
      <vt:variant>
        <vt:i4>5</vt:i4>
      </vt:variant>
      <vt:variant>
        <vt:lpwstr/>
      </vt:variant>
      <vt:variant>
        <vt:lpwstr>_Commercial_Case_–_1</vt:lpwstr>
      </vt:variant>
      <vt:variant>
        <vt:i4>2687044</vt:i4>
      </vt:variant>
      <vt:variant>
        <vt:i4>81</vt:i4>
      </vt:variant>
      <vt:variant>
        <vt:i4>0</vt:i4>
      </vt:variant>
      <vt:variant>
        <vt:i4>5</vt:i4>
      </vt:variant>
      <vt:variant>
        <vt:lpwstr/>
      </vt:variant>
      <vt:variant>
        <vt:lpwstr>_Action_26:_Revisit</vt:lpwstr>
      </vt:variant>
      <vt:variant>
        <vt:i4>7864392</vt:i4>
      </vt:variant>
      <vt:variant>
        <vt:i4>78</vt:i4>
      </vt:variant>
      <vt:variant>
        <vt:i4>0</vt:i4>
      </vt:variant>
      <vt:variant>
        <vt:i4>5</vt:i4>
      </vt:variant>
      <vt:variant>
        <vt:lpwstr/>
      </vt:variant>
      <vt:variant>
        <vt:lpwstr>_Strategic_and_Economic</vt:lpwstr>
      </vt:variant>
      <vt:variant>
        <vt:i4>2621471</vt:i4>
      </vt:variant>
      <vt:variant>
        <vt:i4>75</vt:i4>
      </vt:variant>
      <vt:variant>
        <vt:i4>0</vt:i4>
      </vt:variant>
      <vt:variant>
        <vt:i4>5</vt:i4>
      </vt:variant>
      <vt:variant>
        <vt:lpwstr/>
      </vt:variant>
      <vt:variant>
        <vt:lpwstr>_Better_Business_CasesTM</vt:lpwstr>
      </vt:variant>
      <vt:variant>
        <vt:i4>458826</vt:i4>
      </vt:variant>
      <vt:variant>
        <vt:i4>72</vt:i4>
      </vt:variant>
      <vt:variant>
        <vt:i4>0</vt:i4>
      </vt:variant>
      <vt:variant>
        <vt:i4>5</vt:i4>
      </vt:variant>
      <vt:variant>
        <vt:lpwstr>https://dpmc.govt.nz/publications/co-19-6-investment-management-and-asset-performance-state-services</vt:lpwstr>
      </vt:variant>
      <vt:variant>
        <vt:lpwstr/>
      </vt:variant>
      <vt:variant>
        <vt:i4>1703985</vt:i4>
      </vt:variant>
      <vt:variant>
        <vt:i4>69</vt:i4>
      </vt:variant>
      <vt:variant>
        <vt:i4>0</vt:i4>
      </vt:variant>
      <vt:variant>
        <vt:i4>5</vt:i4>
      </vt:variant>
      <vt:variant>
        <vt:lpwstr/>
      </vt:variant>
      <vt:variant>
        <vt:lpwstr>_Annex_2:_</vt:lpwstr>
      </vt:variant>
      <vt:variant>
        <vt:i4>2621471</vt:i4>
      </vt:variant>
      <vt:variant>
        <vt:i4>66</vt:i4>
      </vt:variant>
      <vt:variant>
        <vt:i4>0</vt:i4>
      </vt:variant>
      <vt:variant>
        <vt:i4>5</vt:i4>
      </vt:variant>
      <vt:variant>
        <vt:lpwstr/>
      </vt:variant>
      <vt:variant>
        <vt:lpwstr>_Better_Business_CasesTM</vt:lpwstr>
      </vt:variant>
      <vt:variant>
        <vt:i4>3211389</vt:i4>
      </vt:variant>
      <vt:variant>
        <vt:i4>0</vt:i4>
      </vt:variant>
      <vt:variant>
        <vt:i4>0</vt:i4>
      </vt:variant>
      <vt:variant>
        <vt:i4>5</vt:i4>
      </vt:variant>
      <vt:variant>
        <vt:lpwstr>https://treasury.govt.nz/information-and-services/state-sector-leadership/investment-management/better-business-cases/guidance</vt:lpwstr>
      </vt:variant>
      <vt:variant>
        <vt:lpwstr/>
      </vt:variant>
      <vt:variant>
        <vt:i4>458826</vt:i4>
      </vt:variant>
      <vt:variant>
        <vt:i4>24</vt:i4>
      </vt:variant>
      <vt:variant>
        <vt:i4>0</vt:i4>
      </vt:variant>
      <vt:variant>
        <vt:i4>5</vt:i4>
      </vt:variant>
      <vt:variant>
        <vt:lpwstr>https://dpmc.govt.nz/publications/co-19-6-investment-management-and-asset-performance-state-services</vt:lpwstr>
      </vt:variant>
      <vt:variant>
        <vt:lpwstr/>
      </vt:variant>
      <vt:variant>
        <vt:i4>5439501</vt:i4>
      </vt:variant>
      <vt:variant>
        <vt:i4>21</vt:i4>
      </vt:variant>
      <vt:variant>
        <vt:i4>0</vt:i4>
      </vt:variant>
      <vt:variant>
        <vt:i4>5</vt:i4>
      </vt:variant>
      <vt:variant>
        <vt:lpwstr>http://www.g20.utoronto.ca/2018/principles_for_infrastructure_project_preparation.pdf</vt:lpwstr>
      </vt:variant>
      <vt:variant>
        <vt:lpwstr/>
      </vt:variant>
      <vt:variant>
        <vt:i4>983057</vt:i4>
      </vt:variant>
      <vt:variant>
        <vt:i4>18</vt:i4>
      </vt:variant>
      <vt:variant>
        <vt:i4>0</vt:i4>
      </vt:variant>
      <vt:variant>
        <vt:i4>5</vt:i4>
      </vt:variant>
      <vt:variant>
        <vt:lpwstr>https://www.procurement.govt.nz/broader-outcomes/</vt:lpwstr>
      </vt:variant>
      <vt:variant>
        <vt:lpwstr/>
      </vt:variant>
      <vt:variant>
        <vt:i4>4587527</vt:i4>
      </vt:variant>
      <vt:variant>
        <vt:i4>15</vt:i4>
      </vt:variant>
      <vt:variant>
        <vt:i4>0</vt:i4>
      </vt:variant>
      <vt:variant>
        <vt:i4>5</vt:i4>
      </vt:variant>
      <vt:variant>
        <vt:lpwstr>https://treasury.govt.nz/information-and-services/nz-economy/higher-living-standards</vt:lpwstr>
      </vt:variant>
      <vt:variant>
        <vt:lpwstr/>
      </vt:variant>
      <vt:variant>
        <vt:i4>7995437</vt:i4>
      </vt:variant>
      <vt:variant>
        <vt:i4>12</vt:i4>
      </vt:variant>
      <vt:variant>
        <vt:i4>0</vt:i4>
      </vt:variant>
      <vt:variant>
        <vt:i4>5</vt:i4>
      </vt:variant>
      <vt:variant>
        <vt:lpwstr>https://treasury.govt.nz/information-and-services/state-sector-leadership/investment-management/think-investment-possibilities/risk-profile-assessment</vt:lpwstr>
      </vt:variant>
      <vt:variant>
        <vt:lpwstr/>
      </vt:variant>
      <vt:variant>
        <vt:i4>5439501</vt:i4>
      </vt:variant>
      <vt:variant>
        <vt:i4>9</vt:i4>
      </vt:variant>
      <vt:variant>
        <vt:i4>0</vt:i4>
      </vt:variant>
      <vt:variant>
        <vt:i4>5</vt:i4>
      </vt:variant>
      <vt:variant>
        <vt:lpwstr>http://www.g20.utoronto.ca/2018/principles_for_infrastructure_project_preparation.pdf</vt:lpwstr>
      </vt:variant>
      <vt:variant>
        <vt:lpwstr/>
      </vt:variant>
      <vt:variant>
        <vt:i4>983057</vt:i4>
      </vt:variant>
      <vt:variant>
        <vt:i4>6</vt:i4>
      </vt:variant>
      <vt:variant>
        <vt:i4>0</vt:i4>
      </vt:variant>
      <vt:variant>
        <vt:i4>5</vt:i4>
      </vt:variant>
      <vt:variant>
        <vt:lpwstr>https://www.procurement.govt.nz/broader-outcomes/</vt:lpwstr>
      </vt:variant>
      <vt:variant>
        <vt:lpwstr/>
      </vt:variant>
      <vt:variant>
        <vt:i4>4587527</vt:i4>
      </vt:variant>
      <vt:variant>
        <vt:i4>3</vt:i4>
      </vt:variant>
      <vt:variant>
        <vt:i4>0</vt:i4>
      </vt:variant>
      <vt:variant>
        <vt:i4>5</vt:i4>
      </vt:variant>
      <vt:variant>
        <vt:lpwstr>https://treasury.govt.nz/information-and-services/nz-economy/higher-living-standards</vt:lpwstr>
      </vt:variant>
      <vt:variant>
        <vt:lpwstr/>
      </vt:variant>
      <vt:variant>
        <vt:i4>5439501</vt:i4>
      </vt:variant>
      <vt:variant>
        <vt:i4>0</vt:i4>
      </vt:variant>
      <vt:variant>
        <vt:i4>0</vt:i4>
      </vt:variant>
      <vt:variant>
        <vt:i4>5</vt:i4>
      </vt:variant>
      <vt:variant>
        <vt:lpwstr>http://www.g20.utoronto.ca/2018/principles_for_infrastructure_project_preparation.pdf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Business Case Template &amp; Guidance - November 2019</dc:title>
  <dc:subject/>
  <dc:creator/>
  <cp:keywords/>
  <dc:description/>
  <cp:lastModifiedBy/>
  <cp:revision>1</cp:revision>
  <dcterms:created xsi:type="dcterms:W3CDTF">2020-09-16T22:19:00Z</dcterms:created>
  <dcterms:modified xsi:type="dcterms:W3CDTF">2020-09-17T03:23:00Z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4278173</vt:i4>
  </property>
  <property fmtid="{D5CDD505-2E9C-101B-9397-08002B2CF9AE}" pid="6" name="TsyDocVer">
    <vt:i4>7</vt:i4>
  </property>
  <property fmtid="{D5CDD505-2E9C-101B-9397-08002B2CF9AE}" pid="7" name="TsyDisplayedDocNumVer">
    <vt:lpwstr>Treasury:4278173v7</vt:lpwstr>
  </property>
  <property fmtid="{D5CDD505-2E9C-101B-9397-08002B2CF9AE}" pid="8" name="TsyFileNo">
    <vt:lpwstr>ST-4-8-3-1</vt:lpwstr>
  </property>
  <property fmtid="{D5CDD505-2E9C-101B-9397-08002B2CF9AE}" pid="9" name="TsyDescription">
    <vt:lpwstr>Implementation Business Case - Template &amp; Guidance (Sept 2020) - W&amp;P formatted</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VANVLIETC</vt:lpwstr>
  </property>
  <property fmtid="{D5CDD505-2E9C-101B-9397-08002B2CF9AE}" pid="15" name="TsyAuthorFullname">
    <vt:lpwstr>Celia van Vliet</vt:lpwstr>
  </property>
  <property fmtid="{D5CDD505-2E9C-101B-9397-08002B2CF9AE}" pid="16" name="TsyUpdateFooter">
    <vt:bool>true</vt:bool>
  </property>
  <property fmtid="{D5CDD505-2E9C-101B-9397-08002B2CF9AE}" pid="17" name="ContentTypeId">
    <vt:lpwstr>0x010100A3DAF6185904F249BD4EFDC2D4949542</vt:lpwstr>
  </property>
  <property fmtid="{D5CDD505-2E9C-101B-9397-08002B2CF9AE}" pid="18" name="MSIP_Label_68eebd8b-c6d1-4b94-b904-d14fce421acd_Enabled">
    <vt:lpwstr>True</vt:lpwstr>
  </property>
  <property fmtid="{D5CDD505-2E9C-101B-9397-08002B2CF9AE}" pid="19" name="MSIP_Label_68eebd8b-c6d1-4b94-b904-d14fce421acd_SiteId">
    <vt:lpwstr>fb39e3e9-23a9-404e-93a2-b42a87d94f35</vt:lpwstr>
  </property>
  <property fmtid="{D5CDD505-2E9C-101B-9397-08002B2CF9AE}" pid="20" name="MSIP_Label_68eebd8b-c6d1-4b94-b904-d14fce421acd_Owner">
    <vt:lpwstr>mike.ryan@ird.govt.nz</vt:lpwstr>
  </property>
  <property fmtid="{D5CDD505-2E9C-101B-9397-08002B2CF9AE}" pid="21" name="MSIP_Label_68eebd8b-c6d1-4b94-b904-d14fce421acd_SetDate">
    <vt:lpwstr>2019-08-14T04:28:51.1560413Z</vt:lpwstr>
  </property>
  <property fmtid="{D5CDD505-2E9C-101B-9397-08002B2CF9AE}" pid="22" name="MSIP_Label_68eebd8b-c6d1-4b94-b904-d14fce421acd_Name">
    <vt:lpwstr>UNCLASSIFIED</vt:lpwstr>
  </property>
  <property fmtid="{D5CDD505-2E9C-101B-9397-08002B2CF9AE}" pid="23" name="MSIP_Label_68eebd8b-c6d1-4b94-b904-d14fce421acd_Application">
    <vt:lpwstr>Microsoft Azure Information Protection</vt:lpwstr>
  </property>
  <property fmtid="{D5CDD505-2E9C-101B-9397-08002B2CF9AE}" pid="24" name="MSIP_Label_68eebd8b-c6d1-4b94-b904-d14fce421acd_ActionId">
    <vt:lpwstr>2b74d47c-d477-4530-84f2-56b3302a2699</vt:lpwstr>
  </property>
  <property fmtid="{D5CDD505-2E9C-101B-9397-08002B2CF9AE}" pid="25" name="MSIP_Label_68eebd8b-c6d1-4b94-b904-d14fce421acd_Extended_MSFT_Method">
    <vt:lpwstr>Manual</vt:lpwstr>
  </property>
  <property fmtid="{D5CDD505-2E9C-101B-9397-08002B2CF9AE}" pid="26" name="MSIP_Label_a4f106f2-aad1-42d5-aa61-96837420719b_Enabled">
    <vt:lpwstr>True</vt:lpwstr>
  </property>
  <property fmtid="{D5CDD505-2E9C-101B-9397-08002B2CF9AE}" pid="27" name="MSIP_Label_a4f106f2-aad1-42d5-aa61-96837420719b_SiteId">
    <vt:lpwstr>fb39e3e9-23a9-404e-93a2-b42a87d94f35</vt:lpwstr>
  </property>
  <property fmtid="{D5CDD505-2E9C-101B-9397-08002B2CF9AE}" pid="28" name="MSIP_Label_a4f106f2-aad1-42d5-aa61-96837420719b_Owner">
    <vt:lpwstr>mike.ryan@ird.govt.nz</vt:lpwstr>
  </property>
  <property fmtid="{D5CDD505-2E9C-101B-9397-08002B2CF9AE}" pid="29" name="MSIP_Label_a4f106f2-aad1-42d5-aa61-96837420719b_SetDate">
    <vt:lpwstr>2019-08-14T04:28:51.1570384Z</vt:lpwstr>
  </property>
  <property fmtid="{D5CDD505-2E9C-101B-9397-08002B2CF9AE}" pid="30" name="MSIP_Label_a4f106f2-aad1-42d5-aa61-96837420719b_Name">
    <vt:lpwstr>UNCLASSIFIED</vt:lpwstr>
  </property>
  <property fmtid="{D5CDD505-2E9C-101B-9397-08002B2CF9AE}" pid="31" name="MSIP_Label_a4f106f2-aad1-42d5-aa61-96837420719b_Application">
    <vt:lpwstr>Microsoft Azure Information Protection</vt:lpwstr>
  </property>
  <property fmtid="{D5CDD505-2E9C-101B-9397-08002B2CF9AE}" pid="32" name="MSIP_Label_a4f106f2-aad1-42d5-aa61-96837420719b_ActionId">
    <vt:lpwstr>2b74d47c-d477-4530-84f2-56b3302a2699</vt:lpwstr>
  </property>
  <property fmtid="{D5CDD505-2E9C-101B-9397-08002B2CF9AE}" pid="33" name="MSIP_Label_a4f106f2-aad1-42d5-aa61-96837420719b_Parent">
    <vt:lpwstr>68eebd8b-c6d1-4b94-b904-d14fce421acd</vt:lpwstr>
  </property>
  <property fmtid="{D5CDD505-2E9C-101B-9397-08002B2CF9AE}" pid="34" name="MSIP_Label_a4f106f2-aad1-42d5-aa61-96837420719b_Extended_MSFT_Method">
    <vt:lpwstr>Manual</vt:lpwstr>
  </property>
  <property fmtid="{D5CDD505-2E9C-101B-9397-08002B2CF9AE}" pid="35" name="Sensitivity">
    <vt:lpwstr>UNCLASSIFIED UNCLASSIFIED</vt:lpwstr>
  </property>
</Properties>
</file>